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65336" w14:textId="3AAD4FB5" w:rsidR="005432A6" w:rsidRPr="005432A6" w:rsidRDefault="00FB5801" w:rsidP="005432A6">
      <w:pPr>
        <w:spacing w:before="100" w:beforeAutospacing="1" w:after="100" w:afterAutospacing="1"/>
        <w:rPr>
          <w:rFonts w:ascii="Times New Roman" w:hAnsi="Times New Roman" w:cs="Times New Roman"/>
          <w:sz w:val="24"/>
        </w:rPr>
      </w:pPr>
      <w:r>
        <w:rPr>
          <w:rFonts w:ascii="TimesNewRomanPS" w:hAnsi="TimesNewRomanPS" w:cs="Times New Roman"/>
          <w:b/>
          <w:bCs/>
          <w:sz w:val="24"/>
        </w:rPr>
        <w:t xml:space="preserve">Combined </w:t>
      </w:r>
      <w:r w:rsidR="005432A6" w:rsidRPr="005432A6">
        <w:rPr>
          <w:rFonts w:ascii="TimesNewRomanPS" w:hAnsi="TimesNewRomanPS" w:cs="Times New Roman"/>
          <w:b/>
          <w:bCs/>
          <w:sz w:val="24"/>
        </w:rPr>
        <w:t>ADHD</w:t>
      </w:r>
      <w:r w:rsidR="005432A6">
        <w:rPr>
          <w:rFonts w:ascii="TimesNewRomanPS" w:hAnsi="TimesNewRomanPS" w:cs="Times New Roman"/>
          <w:b/>
          <w:bCs/>
          <w:sz w:val="24"/>
        </w:rPr>
        <w:t xml:space="preserve"> and ASD</w:t>
      </w:r>
      <w:r w:rsidR="005432A6" w:rsidRPr="005432A6">
        <w:rPr>
          <w:rFonts w:ascii="TimesNewRomanPS" w:hAnsi="TimesNewRomanPS" w:cs="Times New Roman"/>
          <w:b/>
          <w:bCs/>
          <w:sz w:val="24"/>
        </w:rPr>
        <w:t xml:space="preserve"> GWAS meta-analysis results (Europeans only), </w:t>
      </w:r>
      <w:r w:rsidR="005432A6">
        <w:rPr>
          <w:rFonts w:ascii="TimesNewRomanPS" w:hAnsi="TimesNewRomanPS" w:cs="Times New Roman"/>
          <w:b/>
          <w:bCs/>
          <w:sz w:val="24"/>
        </w:rPr>
        <w:t>April</w:t>
      </w:r>
      <w:r w:rsidR="005432A6" w:rsidRPr="005432A6">
        <w:rPr>
          <w:rFonts w:ascii="TimesNewRomanPS" w:hAnsi="TimesNewRomanPS" w:cs="Times New Roman"/>
          <w:b/>
          <w:bCs/>
          <w:sz w:val="24"/>
        </w:rPr>
        <w:t xml:space="preserve"> 202</w:t>
      </w:r>
      <w:r w:rsidR="005432A6">
        <w:rPr>
          <w:rFonts w:ascii="TimesNewRomanPS" w:hAnsi="TimesNewRomanPS" w:cs="Times New Roman"/>
          <w:b/>
          <w:bCs/>
          <w:sz w:val="24"/>
        </w:rPr>
        <w:t>2</w:t>
      </w:r>
      <w:r w:rsidR="005432A6" w:rsidRPr="005432A6">
        <w:rPr>
          <w:rFonts w:ascii="TimesNewRomanPS" w:hAnsi="TimesNewRomanPS" w:cs="Times New Roman"/>
          <w:b/>
          <w:bCs/>
          <w:sz w:val="24"/>
        </w:rPr>
        <w:t xml:space="preserve"> Release (</w:t>
      </w:r>
      <w:proofErr w:type="spellStart"/>
      <w:r w:rsidR="005432A6" w:rsidRPr="005432A6">
        <w:rPr>
          <w:rFonts w:ascii="TimesNewRomanPS" w:hAnsi="TimesNewRomanPS" w:cs="Times New Roman"/>
          <w:b/>
          <w:bCs/>
          <w:sz w:val="24"/>
        </w:rPr>
        <w:t>iPSYCH+PGC</w:t>
      </w:r>
      <w:proofErr w:type="spellEnd"/>
      <w:r w:rsidR="005432A6" w:rsidRPr="005432A6">
        <w:rPr>
          <w:rFonts w:ascii="TimesNewRomanPS" w:hAnsi="TimesNewRomanPS" w:cs="Times New Roman"/>
          <w:b/>
          <w:bCs/>
          <w:sz w:val="24"/>
        </w:rPr>
        <w:t xml:space="preserve"> data) </w:t>
      </w:r>
    </w:p>
    <w:p w14:paraId="1212FCBC" w14:textId="28965768" w:rsidR="005432A6" w:rsidRPr="005432A6" w:rsidRDefault="005432A6" w:rsidP="005432A6">
      <w:pPr>
        <w:spacing w:before="100" w:beforeAutospacing="1" w:after="100" w:afterAutospacing="1"/>
        <w:rPr>
          <w:rFonts w:ascii="Times New Roman" w:hAnsi="Times New Roman" w:cs="Times New Roman"/>
          <w:sz w:val="24"/>
        </w:rPr>
      </w:pPr>
      <w:r w:rsidRPr="005432A6">
        <w:rPr>
          <w:rFonts w:ascii="TimesNewRomanPSMT" w:hAnsi="TimesNewRomanPSMT" w:cs="Times New Roman"/>
          <w:sz w:val="24"/>
        </w:rPr>
        <w:t>The file “</w:t>
      </w:r>
      <w:r w:rsidR="00FB5801" w:rsidRPr="00FB5801">
        <w:rPr>
          <w:rFonts w:ascii="TimesNewRomanPSMT" w:hAnsi="TimesNewRomanPSMT" w:cs="Times New Roman"/>
          <w:sz w:val="24"/>
        </w:rPr>
        <w:t>adhdORasdWOid50_filtered_clean.gz</w:t>
      </w:r>
      <w:r w:rsidRPr="005432A6">
        <w:rPr>
          <w:rFonts w:ascii="TimesNewRomanPSMT" w:hAnsi="TimesNewRomanPSMT" w:cs="Times New Roman"/>
          <w:sz w:val="24"/>
        </w:rPr>
        <w:t xml:space="preserve">” contains results from the </w:t>
      </w:r>
      <w:r w:rsidR="00D736FE">
        <w:rPr>
          <w:rFonts w:ascii="TimesNewRomanPSMT" w:hAnsi="TimesNewRomanPSMT" w:cs="Times New Roman"/>
          <w:sz w:val="24"/>
        </w:rPr>
        <w:t xml:space="preserve">combined </w:t>
      </w:r>
      <w:r w:rsidRPr="005432A6">
        <w:rPr>
          <w:rFonts w:ascii="TimesNewRomanPSMT" w:hAnsi="TimesNewRomanPSMT" w:cs="Times New Roman"/>
          <w:sz w:val="24"/>
        </w:rPr>
        <w:t>GWAS meta-analysis of attention deficit hyperactivity disorder (ADHD)</w:t>
      </w:r>
      <w:r w:rsidR="00D736FE">
        <w:rPr>
          <w:rFonts w:ascii="TimesNewRomanPSMT" w:hAnsi="TimesNewRomanPSMT" w:cs="Times New Roman"/>
          <w:sz w:val="24"/>
        </w:rPr>
        <w:t xml:space="preserve"> and autism spectrum disorder (ASD)</w:t>
      </w:r>
      <w:r w:rsidRPr="005432A6">
        <w:rPr>
          <w:rFonts w:ascii="TimesNewRomanPSMT" w:hAnsi="TimesNewRomanPSMT" w:cs="Times New Roman"/>
          <w:sz w:val="24"/>
        </w:rPr>
        <w:t xml:space="preserve">. </w:t>
      </w:r>
    </w:p>
    <w:p w14:paraId="7D768206" w14:textId="77777777" w:rsidR="005432A6" w:rsidRPr="005432A6" w:rsidRDefault="005432A6" w:rsidP="005432A6">
      <w:pPr>
        <w:spacing w:before="100" w:beforeAutospacing="1" w:after="100" w:afterAutospacing="1"/>
        <w:rPr>
          <w:rFonts w:ascii="Times New Roman" w:hAnsi="Times New Roman" w:cs="Times New Roman"/>
          <w:sz w:val="24"/>
        </w:rPr>
      </w:pPr>
      <w:r w:rsidRPr="005432A6">
        <w:rPr>
          <w:rFonts w:ascii="TimesNewRomanPS" w:hAnsi="TimesNewRomanPS" w:cs="Times New Roman"/>
          <w:b/>
          <w:bCs/>
          <w:sz w:val="24"/>
        </w:rPr>
        <w:t xml:space="preserve">Citation for studies using these data: </w:t>
      </w:r>
    </w:p>
    <w:p w14:paraId="46671631" w14:textId="0293210E" w:rsidR="005432A6" w:rsidRPr="005432A6" w:rsidRDefault="009430F3" w:rsidP="005432A6">
      <w:pPr>
        <w:spacing w:before="100" w:beforeAutospacing="1" w:after="100" w:afterAutospacing="1"/>
        <w:rPr>
          <w:rFonts w:ascii="Times New Roman" w:hAnsi="Times New Roman" w:cs="Times New Roman"/>
          <w:sz w:val="24"/>
        </w:rPr>
      </w:pPr>
      <w:proofErr w:type="gramStart"/>
      <w:r w:rsidRPr="009430F3">
        <w:rPr>
          <w:rFonts w:ascii="TimesNewRomanPSMT" w:hAnsi="TimesNewRomanPSMT" w:cs="Times New Roman"/>
          <w:sz w:val="24"/>
        </w:rPr>
        <w:t xml:space="preserve">Manuel Mattheisen, Jakob Grove, Thomas D Als, Joanna Martin, Georgios </w:t>
      </w:r>
      <w:proofErr w:type="spellStart"/>
      <w:r w:rsidRPr="009430F3">
        <w:rPr>
          <w:rFonts w:ascii="TimesNewRomanPSMT" w:hAnsi="TimesNewRomanPSMT" w:cs="Times New Roman"/>
          <w:sz w:val="24"/>
        </w:rPr>
        <w:t>Voloudakis</w:t>
      </w:r>
      <w:proofErr w:type="spellEnd"/>
      <w:r w:rsidRPr="009430F3">
        <w:rPr>
          <w:rFonts w:ascii="TimesNewRomanPSMT" w:hAnsi="TimesNewRomanPSMT" w:cs="Times New Roman"/>
          <w:sz w:val="24"/>
        </w:rPr>
        <w:t xml:space="preserve">, Sandra Meier, Ditte Demontis, Jaroslav Bendl, Raymond Walters, Caitlin E Carey, Anders Rosengren, Nora I Strom, Mads Engel Hauberg, Biao Zeng, Gabriel Hoffman, Wen Zhang, Jonas </w:t>
      </w:r>
      <w:proofErr w:type="spellStart"/>
      <w:r w:rsidRPr="009430F3">
        <w:rPr>
          <w:rFonts w:ascii="TimesNewRomanPSMT" w:hAnsi="TimesNewRomanPSMT" w:cs="Times New Roman"/>
          <w:sz w:val="24"/>
        </w:rPr>
        <w:t>Bybjerg-Grauholm</w:t>
      </w:r>
      <w:proofErr w:type="spellEnd"/>
      <w:r w:rsidRPr="009430F3">
        <w:rPr>
          <w:rFonts w:ascii="TimesNewRomanPSMT" w:hAnsi="TimesNewRomanPSMT" w:cs="Times New Roman"/>
          <w:sz w:val="24"/>
        </w:rPr>
        <w:t xml:space="preserve">, Marie Bækvad-Hansen, Esben Agerbo, </w:t>
      </w:r>
      <w:proofErr w:type="spellStart"/>
      <w:r w:rsidRPr="009430F3">
        <w:rPr>
          <w:rFonts w:ascii="TimesNewRomanPSMT" w:hAnsi="TimesNewRomanPSMT" w:cs="Times New Roman"/>
          <w:sz w:val="24"/>
        </w:rPr>
        <w:t>Bru</w:t>
      </w:r>
      <w:proofErr w:type="spellEnd"/>
      <w:r w:rsidRPr="009430F3">
        <w:rPr>
          <w:rFonts w:ascii="TimesNewRomanPSMT" w:hAnsi="TimesNewRomanPSMT" w:cs="Times New Roman"/>
          <w:sz w:val="24"/>
        </w:rPr>
        <w:t xml:space="preserve"> </w:t>
      </w:r>
      <w:proofErr w:type="spellStart"/>
      <w:r w:rsidRPr="009430F3">
        <w:rPr>
          <w:rFonts w:ascii="TimesNewRomanPSMT" w:hAnsi="TimesNewRomanPSMT" w:cs="Times New Roman"/>
          <w:sz w:val="24"/>
        </w:rPr>
        <w:t>Cormand</w:t>
      </w:r>
      <w:proofErr w:type="spellEnd"/>
      <w:r w:rsidRPr="009430F3">
        <w:rPr>
          <w:rFonts w:ascii="TimesNewRomanPSMT" w:hAnsi="TimesNewRomanPSMT" w:cs="Times New Roman"/>
          <w:sz w:val="24"/>
        </w:rPr>
        <w:t xml:space="preserve">, Merete Nordentoft, Thomas Werge, Ole Mors, David M Hougaard, Joseph D Buxbaum, Stephen V Faraone, Barbara Franke, Søren Dalsgaard, Preben B Mortensen, Elise B Robinson, </w:t>
      </w:r>
      <w:proofErr w:type="spellStart"/>
      <w:r w:rsidRPr="009430F3">
        <w:rPr>
          <w:rFonts w:ascii="TimesNewRomanPSMT" w:hAnsi="TimesNewRomanPSMT" w:cs="Times New Roman"/>
          <w:sz w:val="24"/>
        </w:rPr>
        <w:t>Panos</w:t>
      </w:r>
      <w:proofErr w:type="spellEnd"/>
      <w:r w:rsidRPr="009430F3">
        <w:rPr>
          <w:rFonts w:ascii="TimesNewRomanPSMT" w:hAnsi="TimesNewRomanPSMT" w:cs="Times New Roman"/>
          <w:sz w:val="24"/>
        </w:rPr>
        <w:t xml:space="preserve"> Roussos, Benjamin M Neale, Mark J Daly, Anders D Børglum</w:t>
      </w:r>
      <w:r>
        <w:rPr>
          <w:rFonts w:ascii="TimesNewRomanPSMT" w:hAnsi="TimesNewRomanPSMT" w:cs="Times New Roman"/>
          <w:sz w:val="24"/>
        </w:rPr>
        <w:t xml:space="preserve"> </w:t>
      </w:r>
      <w:r w:rsidRPr="009430F3">
        <w:rPr>
          <w:rFonts w:ascii="TimesNewRomanPS" w:hAnsi="TimesNewRomanPS" w:cs="Times New Roman"/>
          <w:b/>
          <w:bCs/>
          <w:i/>
          <w:iCs/>
          <w:sz w:val="24"/>
        </w:rPr>
        <w:t>Identification of shared and differentiating genetic risk for autism spectrum disorder, attention deficit hyperactivity disorder and case subgroups</w:t>
      </w:r>
      <w:r w:rsidR="005432A6" w:rsidRPr="005432A6">
        <w:rPr>
          <w:rFonts w:ascii="TimesNewRomanPS" w:hAnsi="TimesNewRomanPS" w:cs="Times New Roman"/>
          <w:b/>
          <w:bCs/>
          <w:i/>
          <w:iCs/>
          <w:sz w:val="24"/>
        </w:rPr>
        <w:t>.</w:t>
      </w:r>
      <w:proofErr w:type="gramEnd"/>
      <w:r w:rsidR="005432A6" w:rsidRPr="005432A6">
        <w:rPr>
          <w:rFonts w:ascii="TimesNewRomanPS" w:hAnsi="TimesNewRomanPS" w:cs="Times New Roman"/>
          <w:b/>
          <w:bCs/>
          <w:i/>
          <w:iCs/>
          <w:sz w:val="24"/>
        </w:rPr>
        <w:t xml:space="preserve"> </w:t>
      </w:r>
      <w:hyperlink r:id="rId5" w:history="1">
        <w:r w:rsidR="004C2A2E" w:rsidRPr="009A57F5">
          <w:rPr>
            <w:rStyle w:val="Hyperlink"/>
            <w:rFonts w:ascii="TimesNewRomanPSMT" w:hAnsi="TimesNewRomanPSMT" w:cs="Times New Roman"/>
            <w:sz w:val="24"/>
          </w:rPr>
          <w:t>https://doi.org/10.1101/2021.05.20.2125</w:t>
        </w:r>
        <w:bookmarkStart w:id="0" w:name="_GoBack"/>
        <w:bookmarkEnd w:id="0"/>
        <w:r w:rsidR="004C2A2E" w:rsidRPr="009A57F5">
          <w:rPr>
            <w:rStyle w:val="Hyperlink"/>
            <w:rFonts w:ascii="TimesNewRomanPSMT" w:hAnsi="TimesNewRomanPSMT" w:cs="Times New Roman"/>
            <w:sz w:val="24"/>
          </w:rPr>
          <w:t>7484</w:t>
        </w:r>
      </w:hyperlink>
      <w:r w:rsidR="004C2A2E">
        <w:rPr>
          <w:rFonts w:ascii="TimesNewRomanPSMT" w:hAnsi="TimesNewRomanPSMT" w:cs="Times New Roman"/>
          <w:sz w:val="24"/>
        </w:rPr>
        <w:t xml:space="preserve"> </w:t>
      </w:r>
      <w:r>
        <w:rPr>
          <w:rFonts w:ascii="TimesNewRomanPSMT" w:hAnsi="TimesNewRomanPSMT" w:cs="Times New Roman"/>
          <w:sz w:val="24"/>
        </w:rPr>
        <w:t xml:space="preserve"> </w:t>
      </w:r>
      <w:r w:rsidR="005432A6" w:rsidRPr="005432A6">
        <w:rPr>
          <w:rFonts w:ascii="TimesNewRomanPSMT" w:hAnsi="TimesNewRomanPSMT" w:cs="Times New Roman"/>
          <w:sz w:val="24"/>
        </w:rPr>
        <w:t xml:space="preserve"> </w:t>
      </w:r>
    </w:p>
    <w:p w14:paraId="7BCB32EF" w14:textId="77777777" w:rsidR="005432A6" w:rsidRPr="005432A6" w:rsidRDefault="005432A6" w:rsidP="005432A6">
      <w:pPr>
        <w:spacing w:before="100" w:beforeAutospacing="1" w:after="100" w:afterAutospacing="1"/>
        <w:rPr>
          <w:rFonts w:ascii="Times New Roman" w:hAnsi="Times New Roman" w:cs="Times New Roman"/>
          <w:sz w:val="24"/>
          <w:u w:val="single"/>
        </w:rPr>
      </w:pPr>
      <w:r w:rsidRPr="005432A6">
        <w:rPr>
          <w:rFonts w:ascii="TimesNewRomanPS" w:hAnsi="TimesNewRomanPS" w:cs="Times New Roman"/>
          <w:b/>
          <w:bCs/>
          <w:sz w:val="24"/>
          <w:u w:val="single"/>
        </w:rPr>
        <w:t xml:space="preserve">Disclaimer </w:t>
      </w:r>
    </w:p>
    <w:p w14:paraId="3D6DF28F" w14:textId="77777777" w:rsidR="005432A6" w:rsidRPr="005432A6" w:rsidRDefault="005432A6" w:rsidP="005432A6">
      <w:pPr>
        <w:spacing w:before="100" w:beforeAutospacing="1" w:after="100" w:afterAutospacing="1"/>
        <w:rPr>
          <w:rFonts w:ascii="Times New Roman" w:hAnsi="Times New Roman" w:cs="Times New Roman"/>
          <w:sz w:val="24"/>
        </w:rPr>
      </w:pPr>
      <w:r w:rsidRPr="005432A6">
        <w:rPr>
          <w:rFonts w:ascii="TimesNewRomanPSMT" w:hAnsi="TimesNewRomanPSMT" w:cs="Times New Roman"/>
          <w:sz w:val="24"/>
        </w:rPr>
        <w:t xml:space="preserve">These data are provided "as is", and without warranty, for scientific and educational use only. If you download these data, you acknowledge that these data will be used only for non-commercial research purposes; that the investigator is in compliance with all applicable state, local, and federal laws or regulations and institutional policies regarding human subjects and genetics research; that secondary distribution of the data without registration by secondary parties is prohibited; and that the investigator will cite the publication in any communications or publications arising directly or indirectly from these data. </w:t>
      </w:r>
    </w:p>
    <w:p w14:paraId="3DFF3BFB" w14:textId="77777777" w:rsidR="005432A6" w:rsidRPr="005432A6" w:rsidRDefault="005432A6" w:rsidP="005432A6">
      <w:pPr>
        <w:spacing w:before="100" w:beforeAutospacing="1" w:after="100" w:afterAutospacing="1"/>
        <w:rPr>
          <w:rFonts w:ascii="Times New Roman" w:hAnsi="Times New Roman" w:cs="Times New Roman"/>
          <w:sz w:val="24"/>
          <w:u w:val="single"/>
        </w:rPr>
      </w:pPr>
      <w:r w:rsidRPr="005432A6">
        <w:rPr>
          <w:rFonts w:ascii="TimesNewRomanPS" w:hAnsi="TimesNewRomanPS" w:cs="Times New Roman"/>
          <w:b/>
          <w:bCs/>
          <w:sz w:val="24"/>
          <w:u w:val="single"/>
        </w:rPr>
        <w:t xml:space="preserve">Methods </w:t>
      </w:r>
    </w:p>
    <w:p w14:paraId="03ACD278" w14:textId="77777777" w:rsidR="005432A6" w:rsidRPr="005432A6" w:rsidRDefault="005432A6" w:rsidP="005432A6">
      <w:pPr>
        <w:spacing w:before="100" w:beforeAutospacing="1" w:after="100" w:afterAutospacing="1"/>
        <w:rPr>
          <w:rFonts w:ascii="Times New Roman" w:hAnsi="Times New Roman" w:cs="Times New Roman"/>
          <w:sz w:val="24"/>
        </w:rPr>
      </w:pPr>
      <w:r w:rsidRPr="005432A6">
        <w:rPr>
          <w:rFonts w:ascii="TimesNewRomanPSMT" w:hAnsi="TimesNewRomanPSMT" w:cs="Times New Roman"/>
          <w:sz w:val="24"/>
        </w:rPr>
        <w:t xml:space="preserve">See the article for full details. Briefly: </w:t>
      </w:r>
    </w:p>
    <w:p w14:paraId="3EAD040C" w14:textId="788F9556" w:rsidR="00A22F30" w:rsidRPr="00A22F30" w:rsidRDefault="00A22F30" w:rsidP="00A22F30">
      <w:pPr>
        <w:spacing w:before="100" w:beforeAutospacing="1" w:after="100" w:afterAutospacing="1"/>
        <w:rPr>
          <w:rFonts w:ascii="TimesNewRomanPS" w:hAnsi="TimesNewRomanPS" w:cs="Times New Roman"/>
          <w:sz w:val="24"/>
        </w:rPr>
      </w:pPr>
      <w:r w:rsidRPr="00A22F30">
        <w:rPr>
          <w:rFonts w:ascii="TimesNewRomanPS" w:hAnsi="TimesNewRomanPS" w:cs="Times New Roman"/>
          <w:sz w:val="24"/>
        </w:rPr>
        <w:t>Details about study specific case and control selection criteria and how individuals were drawn from the overall iPSYCH case-cohort sample can be found in the respective publications</w:t>
      </w:r>
      <w:r>
        <w:rPr>
          <w:rFonts w:ascii="TimesNewRomanPS" w:hAnsi="TimesNewRomanPS" w:cs="Times New Roman"/>
          <w:sz w:val="24"/>
        </w:rPr>
        <w:t xml:space="preserve"> (see below)</w:t>
      </w:r>
      <w:r w:rsidRPr="00A22F30">
        <w:rPr>
          <w:rFonts w:ascii="TimesNewRomanPS" w:hAnsi="TimesNewRomanPS" w:cs="Times New Roman"/>
          <w:sz w:val="24"/>
        </w:rPr>
        <w:t xml:space="preserve">. Here we focus on differences in selection criteria in the iPSYCH cohort and additional quality control (QC) procedures. </w:t>
      </w:r>
    </w:p>
    <w:p w14:paraId="70B7714B" w14:textId="43974057" w:rsidR="00A22F30" w:rsidRPr="00A22F30" w:rsidRDefault="00A22F30" w:rsidP="00A22F30">
      <w:pPr>
        <w:spacing w:before="100" w:beforeAutospacing="1" w:after="100" w:afterAutospacing="1"/>
        <w:rPr>
          <w:rFonts w:ascii="TimesNewRomanPS" w:hAnsi="TimesNewRomanPS" w:cs="Times New Roman"/>
          <w:sz w:val="24"/>
        </w:rPr>
      </w:pPr>
      <w:r w:rsidRPr="00A22F30">
        <w:rPr>
          <w:rFonts w:ascii="TimesNewRomanPS" w:hAnsi="TimesNewRomanPS" w:cs="Times New Roman"/>
          <w:sz w:val="24"/>
        </w:rPr>
        <w:t xml:space="preserve">The majority of inclusion and exclusion criteria for the original studies </w:t>
      </w:r>
      <w:proofErr w:type="gramStart"/>
      <w:r w:rsidRPr="00A22F30">
        <w:rPr>
          <w:rFonts w:ascii="TimesNewRomanPS" w:hAnsi="TimesNewRomanPS" w:cs="Times New Roman"/>
          <w:sz w:val="24"/>
        </w:rPr>
        <w:t>were also used</w:t>
      </w:r>
      <w:proofErr w:type="gramEnd"/>
      <w:r w:rsidRPr="00A22F30">
        <w:rPr>
          <w:rFonts w:ascii="TimesNewRomanPS" w:hAnsi="TimesNewRomanPS" w:cs="Times New Roman"/>
          <w:sz w:val="24"/>
        </w:rPr>
        <w:t xml:space="preserve"> in this study. The only difference compared to the original studies was an additional exclusion criterion that removed individuals with a moderate to severe mental retardation (ICD10: F71-F79) from both the case and control cohorts. While this criterion was also used in the original ADHD GWAS</w:t>
      </w:r>
      <w:r>
        <w:rPr>
          <w:rFonts w:ascii="TimesNewRomanPS" w:hAnsi="TimesNewRomanPS" w:cs="Times New Roman"/>
          <w:sz w:val="24"/>
        </w:rPr>
        <w:t xml:space="preserve"> (</w:t>
      </w:r>
      <w:r w:rsidRPr="00A22F30">
        <w:rPr>
          <w:rFonts w:ascii="TimesNewRomanPS" w:hAnsi="TimesNewRomanPS" w:cs="Times New Roman"/>
          <w:sz w:val="24"/>
        </w:rPr>
        <w:t>https://www.nature.com/articles/s41588-018-0269-7</w:t>
      </w:r>
      <w:r>
        <w:rPr>
          <w:rFonts w:ascii="TimesNewRomanPS" w:hAnsi="TimesNewRomanPS" w:cs="Times New Roman"/>
          <w:sz w:val="24"/>
        </w:rPr>
        <w:t>)</w:t>
      </w:r>
      <w:r w:rsidRPr="00A22F30">
        <w:rPr>
          <w:rFonts w:ascii="TimesNewRomanPS" w:hAnsi="TimesNewRomanPS" w:cs="Times New Roman"/>
          <w:sz w:val="24"/>
        </w:rPr>
        <w:t>, it was not used in the original ASD GWAS</w:t>
      </w:r>
      <w:r>
        <w:rPr>
          <w:rFonts w:ascii="TimesNewRomanPS" w:hAnsi="TimesNewRomanPS" w:cs="Times New Roman"/>
          <w:sz w:val="24"/>
        </w:rPr>
        <w:t xml:space="preserve"> (</w:t>
      </w:r>
      <w:r w:rsidRPr="00A22F30">
        <w:rPr>
          <w:rFonts w:ascii="TimesNewRomanPS" w:hAnsi="TimesNewRomanPS" w:cs="Times New Roman"/>
          <w:sz w:val="24"/>
        </w:rPr>
        <w:t>https://www.nature.com/articles/s41588-019-0344-8</w:t>
      </w:r>
      <w:r>
        <w:rPr>
          <w:rFonts w:ascii="TimesNewRomanPS" w:hAnsi="TimesNewRomanPS" w:cs="Times New Roman"/>
          <w:sz w:val="24"/>
        </w:rPr>
        <w:t>)</w:t>
      </w:r>
      <w:r w:rsidRPr="00A22F30">
        <w:rPr>
          <w:rFonts w:ascii="TimesNewRomanPS" w:hAnsi="TimesNewRomanPS" w:cs="Times New Roman"/>
          <w:sz w:val="24"/>
        </w:rPr>
        <w:t xml:space="preserve">. The rationale for this decision lies in the interpretability of our results where we treated ADHD and ASD consistently. </w:t>
      </w:r>
    </w:p>
    <w:p w14:paraId="4748D915" w14:textId="18031E89" w:rsidR="00A22F30" w:rsidRPr="00A22F30" w:rsidRDefault="00A22F30" w:rsidP="005432A6">
      <w:pPr>
        <w:spacing w:before="100" w:beforeAutospacing="1" w:after="100" w:afterAutospacing="1"/>
        <w:rPr>
          <w:rFonts w:ascii="TimesNewRomanPS" w:hAnsi="TimesNewRomanPS" w:cs="Times New Roman"/>
          <w:sz w:val="24"/>
        </w:rPr>
      </w:pPr>
      <w:r w:rsidRPr="00A22F30">
        <w:rPr>
          <w:rFonts w:ascii="TimesNewRomanPS" w:hAnsi="TimesNewRomanPS" w:cs="Times New Roman"/>
          <w:sz w:val="24"/>
        </w:rPr>
        <w:t xml:space="preserve">Wave-wise pre-imputation QC and imputation of the iPSYCH case-cohort sample were taken from the original ADHD and ASD GWAS, respectively. Details about the respective steps and filters can be found </w:t>
      </w:r>
      <w:r>
        <w:rPr>
          <w:rFonts w:ascii="TimesNewRomanPS" w:hAnsi="TimesNewRomanPS" w:cs="Times New Roman"/>
          <w:sz w:val="24"/>
        </w:rPr>
        <w:t>in the original GWAS publications (see above)</w:t>
      </w:r>
      <w:r w:rsidRPr="00A22F30">
        <w:rPr>
          <w:rFonts w:ascii="TimesNewRomanPS" w:hAnsi="TimesNewRomanPS" w:cs="Times New Roman"/>
          <w:sz w:val="24"/>
        </w:rPr>
        <w:t xml:space="preserve">. Since our analyses </w:t>
      </w:r>
      <w:r w:rsidRPr="00A22F30">
        <w:rPr>
          <w:rFonts w:ascii="TimesNewRomanPS" w:hAnsi="TimesNewRomanPS" w:cs="Times New Roman"/>
          <w:sz w:val="24"/>
        </w:rPr>
        <w:lastRenderedPageBreak/>
        <w:t xml:space="preserve">used a combined study cohort with samples from both the original ADHD and ASD GWAS, we performed some additional QC on the combined sample. Additional QC steps included the removal of related individuals across the original ADHD and ASD GWAS and a new principal component analysis (PCA) on the combined sample after exclusion of these related individuals. Following the same procedures as in the original studies, pairs of subjects were identified with pi-hat&gt; 0.2 (using PLINK’s identity-by-state analysis) and one subject of each pair was excluded at random (with a preference for keeping cases). PCA was carried out using </w:t>
      </w:r>
      <w:proofErr w:type="spellStart"/>
      <w:r w:rsidRPr="00A22F30">
        <w:rPr>
          <w:rFonts w:ascii="TimesNewRomanPS" w:hAnsi="TimesNewRomanPS" w:cs="Times New Roman"/>
          <w:sz w:val="24"/>
        </w:rPr>
        <w:t>smartPCA</w:t>
      </w:r>
      <w:proofErr w:type="spellEnd"/>
      <w:r w:rsidRPr="00A22F30">
        <w:rPr>
          <w:rFonts w:ascii="TimesNewRomanPS" w:hAnsi="TimesNewRomanPS" w:cs="Times New Roman"/>
          <w:sz w:val="24"/>
        </w:rPr>
        <w:t xml:space="preserve"> in the EIGENSOFT software package using the </w:t>
      </w:r>
      <w:proofErr w:type="spellStart"/>
      <w:r w:rsidRPr="00A22F30">
        <w:rPr>
          <w:rFonts w:ascii="TimesNewRomanPS" w:hAnsi="TimesNewRomanPS" w:cs="Times New Roman"/>
          <w:sz w:val="24"/>
        </w:rPr>
        <w:t>Ricopili</w:t>
      </w:r>
      <w:proofErr w:type="spellEnd"/>
      <w:r w:rsidRPr="00A22F30">
        <w:rPr>
          <w:rFonts w:ascii="TimesNewRomanPS" w:hAnsi="TimesNewRomanPS" w:cs="Times New Roman"/>
          <w:sz w:val="24"/>
        </w:rPr>
        <w:t xml:space="preserve"> pipeline. The original PGC datasets for ADHD and ASD did not include overlapping individuals and therefore the original datasets and summary statistics were used. The final combined dataset across all samples comprised 34,462 cases (i.e., individuals with an ADHD and/or ASD diagnosis) and 41,201 controls. We only included samples of European ancestry from the original ADHD and ASD GWAS. Among the cases in the iPSYCH cohort 11,964 had an ADHD-only, 9,315 had an ASD-only, and 2,304 individuals had a comorbid diagnosis, respectively. Thus, the proportion of ADHD among ASD cases in the iPSYCH cohort was 19.8%, and the proportion of ASD among ADHD cases was 16.1%.</w:t>
      </w:r>
    </w:p>
    <w:p w14:paraId="4F963642" w14:textId="3760EA85" w:rsidR="005432A6" w:rsidRPr="005432A6" w:rsidRDefault="005432A6" w:rsidP="003157FB">
      <w:pPr>
        <w:rPr>
          <w:rFonts w:ascii="Times New Roman" w:hAnsi="Times New Roman" w:cs="Times New Roman"/>
          <w:sz w:val="24"/>
        </w:rPr>
      </w:pPr>
    </w:p>
    <w:p w14:paraId="183A95EC" w14:textId="77777777" w:rsidR="003157FB" w:rsidRPr="003157FB" w:rsidRDefault="005432A6" w:rsidP="003157FB">
      <w:pPr>
        <w:rPr>
          <w:rFonts w:ascii="TimesNewRomanPS" w:hAnsi="TimesNewRomanPS" w:cs="Times New Roman"/>
          <w:b/>
          <w:bCs/>
          <w:sz w:val="24"/>
          <w:u w:val="single"/>
        </w:rPr>
      </w:pPr>
      <w:r w:rsidRPr="005432A6">
        <w:rPr>
          <w:rFonts w:ascii="TimesNewRomanPS" w:hAnsi="TimesNewRomanPS" w:cs="Times New Roman"/>
          <w:b/>
          <w:bCs/>
          <w:sz w:val="24"/>
          <w:u w:val="single"/>
        </w:rPr>
        <w:t>File Description</w:t>
      </w:r>
    </w:p>
    <w:p w14:paraId="42AFDE56" w14:textId="77777777" w:rsidR="003157FB" w:rsidRDefault="005432A6" w:rsidP="003157FB">
      <w:pPr>
        <w:rPr>
          <w:rFonts w:ascii="TimesNewRomanPSMT" w:hAnsi="TimesNewRomanPSMT" w:cs="Times New Roman"/>
          <w:sz w:val="24"/>
        </w:rPr>
      </w:pPr>
      <w:r w:rsidRPr="005432A6">
        <w:rPr>
          <w:rFonts w:ascii="TimesNewRomanPS" w:hAnsi="TimesNewRomanPS" w:cs="Times New Roman"/>
          <w:b/>
          <w:bCs/>
          <w:sz w:val="24"/>
        </w:rPr>
        <w:br/>
      </w:r>
      <w:r w:rsidR="00FB5801" w:rsidRPr="00FB5801">
        <w:rPr>
          <w:rFonts w:ascii="TimesNewRomanPS" w:hAnsi="TimesNewRomanPS" w:cs="Times New Roman"/>
          <w:b/>
          <w:bCs/>
          <w:sz w:val="24"/>
        </w:rPr>
        <w:t>adhdORasdWOid50_filtered_clean.gz</w:t>
      </w:r>
      <w:r w:rsidRPr="005432A6">
        <w:rPr>
          <w:rFonts w:ascii="TimesNewRomanPSMT" w:hAnsi="TimesNewRomanPSMT" w:cs="Times New Roman"/>
          <w:sz w:val="24"/>
        </w:rPr>
        <w:t>: GWAS meta-analysis of ADHD</w:t>
      </w:r>
      <w:r w:rsidR="00FB5801">
        <w:rPr>
          <w:rFonts w:ascii="TimesNewRomanPSMT" w:hAnsi="TimesNewRomanPSMT" w:cs="Times New Roman"/>
          <w:sz w:val="24"/>
        </w:rPr>
        <w:t>+ASD</w:t>
      </w:r>
      <w:r w:rsidRPr="005432A6">
        <w:rPr>
          <w:rFonts w:ascii="TimesNewRomanPSMT" w:hAnsi="TimesNewRomanPSMT" w:cs="Times New Roman"/>
          <w:sz w:val="24"/>
        </w:rPr>
        <w:t xml:space="preserve"> (</w:t>
      </w:r>
      <w:r w:rsidR="00FB5801">
        <w:rPr>
          <w:rFonts w:ascii="TimesNewRomanPSMT" w:hAnsi="TimesNewRomanPSMT" w:cs="Times New Roman"/>
          <w:sz w:val="24"/>
        </w:rPr>
        <w:t>34,462</w:t>
      </w:r>
      <w:r w:rsidRPr="005432A6">
        <w:rPr>
          <w:rFonts w:ascii="TimesNewRomanPSMT" w:hAnsi="TimesNewRomanPSMT" w:cs="Times New Roman"/>
          <w:sz w:val="24"/>
        </w:rPr>
        <w:t xml:space="preserve"> CUD cases and </w:t>
      </w:r>
      <w:r w:rsidR="00FB5801">
        <w:rPr>
          <w:rFonts w:ascii="TimesNewRomanPSMT" w:hAnsi="TimesNewRomanPSMT" w:cs="Times New Roman"/>
          <w:sz w:val="24"/>
        </w:rPr>
        <w:t>41</w:t>
      </w:r>
      <w:r w:rsidRPr="005432A6">
        <w:rPr>
          <w:rFonts w:ascii="TimesNewRomanPSMT" w:hAnsi="TimesNewRomanPSMT" w:cs="Times New Roman"/>
          <w:sz w:val="24"/>
        </w:rPr>
        <w:t>,</w:t>
      </w:r>
      <w:r w:rsidR="00FB5801">
        <w:rPr>
          <w:rFonts w:ascii="TimesNewRomanPSMT" w:hAnsi="TimesNewRomanPSMT" w:cs="Times New Roman"/>
          <w:sz w:val="24"/>
        </w:rPr>
        <w:t>201</w:t>
      </w:r>
      <w:r w:rsidRPr="005432A6">
        <w:rPr>
          <w:rFonts w:ascii="TimesNewRomanPSMT" w:hAnsi="TimesNewRomanPSMT" w:cs="Times New Roman"/>
          <w:sz w:val="24"/>
        </w:rPr>
        <w:t xml:space="preserve"> </w:t>
      </w:r>
      <w:r w:rsidRPr="005432A6">
        <w:rPr>
          <w:rFonts w:ascii="TimesNewRomanPSMT" w:hAnsi="TimesNewRomanPSMT" w:cs="Times New Roman"/>
          <w:color w:val="2D2D2D"/>
          <w:sz w:val="24"/>
          <w:shd w:val="clear" w:color="auto" w:fill="FFFFFF"/>
        </w:rPr>
        <w:t>controls</w:t>
      </w:r>
      <w:r w:rsidRPr="005432A6">
        <w:rPr>
          <w:rFonts w:ascii="TimesNewRomanPSMT" w:hAnsi="TimesNewRomanPSMT" w:cs="Times New Roman"/>
          <w:sz w:val="24"/>
        </w:rPr>
        <w:t>)</w:t>
      </w:r>
      <w:r w:rsidRPr="005432A6">
        <w:rPr>
          <w:rFonts w:ascii="TimesNewRomanPSMT" w:hAnsi="TimesNewRomanPSMT" w:cs="Times New Roman"/>
          <w:sz w:val="24"/>
        </w:rPr>
        <w:br/>
      </w:r>
    </w:p>
    <w:p w14:paraId="01D4D560" w14:textId="638D66DB" w:rsidR="005432A6" w:rsidRDefault="005432A6" w:rsidP="003157FB">
      <w:pPr>
        <w:rPr>
          <w:rFonts w:ascii="TimesNewRomanPSMT" w:hAnsi="TimesNewRomanPSMT" w:cs="Times New Roman"/>
          <w:sz w:val="24"/>
        </w:rPr>
      </w:pPr>
      <w:r w:rsidRPr="005432A6">
        <w:rPr>
          <w:rFonts w:ascii="TimesNewRomanPSMT" w:hAnsi="TimesNewRomanPSMT" w:cs="Times New Roman"/>
          <w:sz w:val="24"/>
        </w:rPr>
        <w:t xml:space="preserve">MD5 </w:t>
      </w:r>
      <w:r w:rsidRPr="005432A6">
        <w:rPr>
          <w:rFonts w:ascii="TimesNewRomanPSMT" w:hAnsi="TimesNewRomanPSMT" w:cs="Times New Roman"/>
          <w:color w:val="1E1E23"/>
          <w:sz w:val="26"/>
          <w:szCs w:val="26"/>
        </w:rPr>
        <w:t xml:space="preserve">checksum </w:t>
      </w:r>
      <w:r w:rsidRPr="005432A6">
        <w:rPr>
          <w:rFonts w:ascii="TimesNewRomanPSMT" w:hAnsi="TimesNewRomanPSMT" w:cs="Times New Roman"/>
          <w:sz w:val="24"/>
        </w:rPr>
        <w:t>(</w:t>
      </w:r>
      <w:r w:rsidR="00FB5801" w:rsidRPr="00FB5801">
        <w:rPr>
          <w:rFonts w:ascii="TimesNewRomanPSMT" w:hAnsi="TimesNewRomanPSMT" w:cs="Times New Roman"/>
          <w:sz w:val="24"/>
        </w:rPr>
        <w:t>adhdORasdWOid50_filtered_clean.gz</w:t>
      </w:r>
      <w:r w:rsidRPr="005432A6">
        <w:rPr>
          <w:rFonts w:ascii="TimesNewRomanPSMT" w:hAnsi="TimesNewRomanPSMT" w:cs="Times New Roman"/>
          <w:sz w:val="24"/>
        </w:rPr>
        <w:t xml:space="preserve">) = </w:t>
      </w:r>
      <w:r w:rsidR="00046DB6" w:rsidRPr="00046DB6">
        <w:rPr>
          <w:rFonts w:ascii="TimesNewRomanPSMT" w:hAnsi="TimesNewRomanPSMT" w:cs="Times New Roman"/>
          <w:sz w:val="24"/>
        </w:rPr>
        <w:t>9184c923d83beae21976bde60fb4e3dc</w:t>
      </w:r>
    </w:p>
    <w:p w14:paraId="49E7FACD" w14:textId="77777777" w:rsidR="003157FB" w:rsidRPr="005432A6" w:rsidRDefault="003157FB" w:rsidP="003157FB">
      <w:pPr>
        <w:rPr>
          <w:rFonts w:ascii="Times New Roman" w:hAnsi="Times New Roman" w:cs="Times New Roman"/>
          <w:sz w:val="24"/>
        </w:rPr>
      </w:pPr>
    </w:p>
    <w:p w14:paraId="28286633" w14:textId="77777777" w:rsidR="005432A6" w:rsidRDefault="005432A6" w:rsidP="003157FB">
      <w:pPr>
        <w:rPr>
          <w:rFonts w:ascii="TimesNewRomanPSMT" w:hAnsi="TimesNewRomanPSMT" w:cs="Times New Roman"/>
          <w:sz w:val="24"/>
        </w:rPr>
      </w:pPr>
      <w:r w:rsidRPr="005432A6">
        <w:rPr>
          <w:rFonts w:ascii="TimesNewRomanPS" w:hAnsi="TimesNewRomanPS" w:cs="Times New Roman"/>
          <w:b/>
          <w:bCs/>
          <w:sz w:val="24"/>
        </w:rPr>
        <w:t xml:space="preserve">CHR </w:t>
      </w:r>
      <w:r w:rsidRPr="005432A6">
        <w:rPr>
          <w:rFonts w:ascii="TimesNewRomanPSMT" w:hAnsi="TimesNewRomanPSMT" w:cs="Times New Roman"/>
          <w:sz w:val="24"/>
        </w:rPr>
        <w:t>Chromosome (hg19)</w:t>
      </w:r>
      <w:r w:rsidRPr="005432A6">
        <w:rPr>
          <w:rFonts w:ascii="TimesNewRomanPSMT" w:hAnsi="TimesNewRomanPSMT" w:cs="Times New Roman"/>
          <w:sz w:val="24"/>
        </w:rPr>
        <w:br/>
      </w:r>
      <w:r w:rsidRPr="005432A6">
        <w:rPr>
          <w:rFonts w:ascii="TimesNewRomanPS" w:hAnsi="TimesNewRomanPS" w:cs="Times New Roman"/>
          <w:b/>
          <w:bCs/>
          <w:sz w:val="24"/>
        </w:rPr>
        <w:t xml:space="preserve">SNP </w:t>
      </w:r>
      <w:r w:rsidRPr="005432A6">
        <w:rPr>
          <w:rFonts w:ascii="TimesNewRomanPSMT" w:hAnsi="TimesNewRomanPSMT" w:cs="Times New Roman"/>
          <w:sz w:val="24"/>
        </w:rPr>
        <w:t>Marker name</w:t>
      </w:r>
      <w:r w:rsidRPr="005432A6">
        <w:rPr>
          <w:rFonts w:ascii="TimesNewRomanPSMT" w:hAnsi="TimesNewRomanPSMT" w:cs="Times New Roman"/>
          <w:sz w:val="24"/>
        </w:rPr>
        <w:br/>
      </w:r>
      <w:r w:rsidRPr="005432A6">
        <w:rPr>
          <w:rFonts w:ascii="TimesNewRomanPS" w:hAnsi="TimesNewRomanPS" w:cs="Times New Roman"/>
          <w:b/>
          <w:bCs/>
          <w:sz w:val="24"/>
        </w:rPr>
        <w:t xml:space="preserve">BP </w:t>
      </w:r>
      <w:r w:rsidRPr="005432A6">
        <w:rPr>
          <w:rFonts w:ascii="TimesNewRomanPSMT" w:hAnsi="TimesNewRomanPSMT" w:cs="Times New Roman"/>
          <w:sz w:val="24"/>
        </w:rPr>
        <w:t>Base pair location (hg19)</w:t>
      </w:r>
      <w:r w:rsidRPr="005432A6">
        <w:rPr>
          <w:rFonts w:ascii="TimesNewRomanPSMT" w:hAnsi="TimesNewRomanPSMT" w:cs="Times New Roman"/>
          <w:sz w:val="24"/>
        </w:rPr>
        <w:br/>
      </w:r>
      <w:r w:rsidRPr="005432A6">
        <w:rPr>
          <w:rFonts w:ascii="TimesNewRomanPS" w:hAnsi="TimesNewRomanPS" w:cs="Times New Roman"/>
          <w:b/>
          <w:bCs/>
          <w:sz w:val="24"/>
        </w:rPr>
        <w:t xml:space="preserve">A1 </w:t>
      </w:r>
      <w:r w:rsidRPr="005432A6">
        <w:rPr>
          <w:rFonts w:ascii="TimesNewRomanPSMT" w:hAnsi="TimesNewRomanPSMT" w:cs="Times New Roman"/>
          <w:sz w:val="24"/>
        </w:rPr>
        <w:t xml:space="preserve">Reference allele for OR (may or may not be minor allele) </w:t>
      </w:r>
    </w:p>
    <w:p w14:paraId="7ADFB7EC" w14:textId="0D4D5DA8" w:rsidR="005432A6" w:rsidRDefault="005432A6" w:rsidP="003157FB">
      <w:pPr>
        <w:rPr>
          <w:rFonts w:ascii="TimesNewRomanPSMT" w:hAnsi="TimesNewRomanPSMT" w:cs="Times New Roman"/>
          <w:sz w:val="24"/>
        </w:rPr>
      </w:pPr>
      <w:r w:rsidRPr="005432A6">
        <w:rPr>
          <w:rFonts w:ascii="TimesNewRomanPS" w:hAnsi="TimesNewRomanPS" w:cs="Times New Roman"/>
          <w:b/>
          <w:bCs/>
          <w:sz w:val="24"/>
        </w:rPr>
        <w:t xml:space="preserve">A2 </w:t>
      </w:r>
      <w:r w:rsidRPr="005432A6">
        <w:rPr>
          <w:rFonts w:ascii="TimesNewRomanPSMT" w:hAnsi="TimesNewRomanPSMT" w:cs="Times New Roman"/>
          <w:sz w:val="24"/>
        </w:rPr>
        <w:t xml:space="preserve">Alternative allele </w:t>
      </w:r>
    </w:p>
    <w:p w14:paraId="6C0E9DAA" w14:textId="7DCBF36D" w:rsidR="00FB5801" w:rsidRPr="00FB5801" w:rsidRDefault="00FB5801" w:rsidP="003157FB">
      <w:pPr>
        <w:rPr>
          <w:rFonts w:ascii="TimesNewRomanPSMT" w:hAnsi="TimesNewRomanPSMT" w:cs="Times New Roman"/>
          <w:b/>
          <w:bCs/>
          <w:sz w:val="24"/>
        </w:rPr>
      </w:pPr>
      <w:r w:rsidRPr="00FB5801">
        <w:rPr>
          <w:rFonts w:ascii="TimesNewRomanPSMT" w:hAnsi="TimesNewRomanPSMT" w:cs="Times New Roman"/>
          <w:b/>
          <w:bCs/>
          <w:sz w:val="24"/>
        </w:rPr>
        <w:t>FRQ</w:t>
      </w:r>
      <w:r>
        <w:rPr>
          <w:rFonts w:ascii="TimesNewRomanPSMT" w:hAnsi="TimesNewRomanPSMT" w:cs="Times New Roman"/>
          <w:b/>
          <w:bCs/>
          <w:sz w:val="24"/>
        </w:rPr>
        <w:t xml:space="preserve"> </w:t>
      </w:r>
      <w:r w:rsidRPr="00FB5801">
        <w:rPr>
          <w:rFonts w:ascii="TimesNewRomanPSMT" w:hAnsi="TimesNewRomanPSMT" w:cs="Times New Roman"/>
          <w:sz w:val="24"/>
        </w:rPr>
        <w:t xml:space="preserve">A1 allele </w:t>
      </w:r>
      <w:r>
        <w:rPr>
          <w:rFonts w:ascii="TimesNewRomanPSMT" w:hAnsi="TimesNewRomanPSMT" w:cs="Times New Roman"/>
          <w:sz w:val="24"/>
        </w:rPr>
        <w:t xml:space="preserve">frequency </w:t>
      </w:r>
      <w:r w:rsidRPr="00FB5801">
        <w:rPr>
          <w:rFonts w:ascii="TimesNewRomanPSMT" w:hAnsi="TimesNewRomanPSMT" w:cs="Times New Roman"/>
          <w:sz w:val="24"/>
        </w:rPr>
        <w:t xml:space="preserve">in controls (‘&lt;’ = </w:t>
      </w:r>
      <w:r>
        <w:rPr>
          <w:rFonts w:ascii="TimesNewRomanPSMT" w:hAnsi="TimesNewRomanPSMT" w:cs="Times New Roman"/>
          <w:sz w:val="24"/>
        </w:rPr>
        <w:t>f</w:t>
      </w:r>
      <w:r w:rsidRPr="00FB5801">
        <w:rPr>
          <w:rFonts w:ascii="TimesNewRomanPSMT" w:hAnsi="TimesNewRomanPSMT" w:cs="Times New Roman"/>
          <w:sz w:val="24"/>
        </w:rPr>
        <w:t xml:space="preserve"> &lt; </w:t>
      </w:r>
      <w:proofErr w:type="gramStart"/>
      <w:r w:rsidRPr="00FB5801">
        <w:rPr>
          <w:rFonts w:ascii="TimesNewRomanPSMT" w:hAnsi="TimesNewRomanPSMT" w:cs="Times New Roman"/>
          <w:sz w:val="24"/>
        </w:rPr>
        <w:t>0.4 ;</w:t>
      </w:r>
      <w:proofErr w:type="gramEnd"/>
      <w:r w:rsidRPr="00FB5801">
        <w:rPr>
          <w:rFonts w:ascii="TimesNewRomanPSMT" w:hAnsi="TimesNewRomanPSMT" w:cs="Times New Roman"/>
          <w:sz w:val="24"/>
        </w:rPr>
        <w:t xml:space="preserve"> ’&lt;&gt;’ = 0.4 &lt; </w:t>
      </w:r>
      <w:r>
        <w:rPr>
          <w:rFonts w:ascii="TimesNewRomanPSMT" w:hAnsi="TimesNewRomanPSMT" w:cs="Times New Roman"/>
          <w:sz w:val="24"/>
        </w:rPr>
        <w:t>f</w:t>
      </w:r>
      <w:r w:rsidRPr="00FB5801">
        <w:rPr>
          <w:rFonts w:ascii="TimesNewRomanPSMT" w:hAnsi="TimesNewRomanPSMT" w:cs="Times New Roman"/>
          <w:sz w:val="24"/>
        </w:rPr>
        <w:t xml:space="preserve"> &lt; 0.6; ‘&gt;’ = </w:t>
      </w:r>
      <w:r>
        <w:rPr>
          <w:rFonts w:ascii="TimesNewRomanPSMT" w:hAnsi="TimesNewRomanPSMT" w:cs="Times New Roman"/>
          <w:sz w:val="24"/>
        </w:rPr>
        <w:t>f</w:t>
      </w:r>
      <w:r w:rsidRPr="00FB5801">
        <w:rPr>
          <w:rFonts w:ascii="TimesNewRomanPSMT" w:hAnsi="TimesNewRomanPSMT" w:cs="Times New Roman"/>
          <w:sz w:val="24"/>
        </w:rPr>
        <w:t xml:space="preserve"> &gt; 0.6</w:t>
      </w:r>
      <w:r>
        <w:rPr>
          <w:rFonts w:ascii="TimesNewRomanPSMT" w:hAnsi="TimesNewRomanPSMT" w:cs="Times New Roman"/>
          <w:sz w:val="24"/>
        </w:rPr>
        <w:t>)</w:t>
      </w:r>
    </w:p>
    <w:p w14:paraId="2A9A93B9" w14:textId="71074870" w:rsidR="005432A6" w:rsidRDefault="005432A6" w:rsidP="003157FB">
      <w:pPr>
        <w:rPr>
          <w:rFonts w:ascii="TimesNewRomanPSMT" w:hAnsi="TimesNewRomanPSMT" w:cs="Times New Roman"/>
          <w:sz w:val="24"/>
        </w:rPr>
      </w:pPr>
      <w:r w:rsidRPr="005432A6">
        <w:rPr>
          <w:rFonts w:ascii="TimesNewRomanPS" w:hAnsi="TimesNewRomanPS" w:cs="Times New Roman"/>
          <w:b/>
          <w:bCs/>
          <w:sz w:val="24"/>
        </w:rPr>
        <w:t xml:space="preserve">INFO </w:t>
      </w:r>
      <w:r w:rsidRPr="005432A6">
        <w:rPr>
          <w:rFonts w:ascii="TimesNewRomanPSMT" w:hAnsi="TimesNewRomanPSMT" w:cs="Times New Roman"/>
          <w:sz w:val="24"/>
        </w:rPr>
        <w:t>Imputation information score</w:t>
      </w:r>
      <w:r w:rsidRPr="005432A6">
        <w:rPr>
          <w:rFonts w:ascii="TimesNewRomanPSMT" w:hAnsi="TimesNewRomanPSMT" w:cs="Times New Roman"/>
          <w:sz w:val="24"/>
        </w:rPr>
        <w:br/>
      </w:r>
      <w:r w:rsidRPr="005432A6">
        <w:rPr>
          <w:rFonts w:ascii="TimesNewRomanPS" w:hAnsi="TimesNewRomanPS" w:cs="Times New Roman"/>
          <w:b/>
          <w:bCs/>
          <w:sz w:val="24"/>
        </w:rPr>
        <w:t xml:space="preserve">OR </w:t>
      </w:r>
      <w:r w:rsidRPr="005432A6">
        <w:rPr>
          <w:rFonts w:ascii="TimesNewRomanPSMT" w:hAnsi="TimesNewRomanPSMT" w:cs="Times New Roman"/>
          <w:sz w:val="24"/>
        </w:rPr>
        <w:t>Odds ratio for the effect of the A1 allele</w:t>
      </w:r>
      <w:r w:rsidRPr="005432A6">
        <w:rPr>
          <w:rFonts w:ascii="TimesNewRomanPSMT" w:hAnsi="TimesNewRomanPSMT" w:cs="Times New Roman"/>
          <w:sz w:val="24"/>
        </w:rPr>
        <w:br/>
      </w:r>
      <w:r w:rsidRPr="005432A6">
        <w:rPr>
          <w:rFonts w:ascii="TimesNewRomanPS" w:hAnsi="TimesNewRomanPS" w:cs="Times New Roman"/>
          <w:b/>
          <w:bCs/>
          <w:sz w:val="24"/>
        </w:rPr>
        <w:t xml:space="preserve">SE </w:t>
      </w:r>
      <w:r w:rsidRPr="005432A6">
        <w:rPr>
          <w:rFonts w:ascii="TimesNewRomanPSMT" w:hAnsi="TimesNewRomanPSMT" w:cs="Times New Roman"/>
          <w:sz w:val="24"/>
        </w:rPr>
        <w:t xml:space="preserve">Standard error of the </w:t>
      </w:r>
      <w:proofErr w:type="gramStart"/>
      <w:r w:rsidRPr="005432A6">
        <w:rPr>
          <w:rFonts w:ascii="TimesNewRomanPSMT" w:hAnsi="TimesNewRomanPSMT" w:cs="Times New Roman"/>
          <w:sz w:val="24"/>
        </w:rPr>
        <w:t>log(</w:t>
      </w:r>
      <w:proofErr w:type="gramEnd"/>
      <w:r w:rsidRPr="005432A6">
        <w:rPr>
          <w:rFonts w:ascii="TimesNewRomanPSMT" w:hAnsi="TimesNewRomanPSMT" w:cs="Times New Roman"/>
          <w:sz w:val="24"/>
        </w:rPr>
        <w:t>OR)</w:t>
      </w:r>
      <w:r w:rsidRPr="005432A6">
        <w:rPr>
          <w:rFonts w:ascii="TimesNewRomanPSMT" w:hAnsi="TimesNewRomanPSMT" w:cs="Times New Roman"/>
          <w:sz w:val="24"/>
        </w:rPr>
        <w:br/>
      </w:r>
      <w:r w:rsidRPr="005432A6">
        <w:rPr>
          <w:rFonts w:ascii="TimesNewRomanPS" w:hAnsi="TimesNewRomanPS" w:cs="Times New Roman"/>
          <w:b/>
          <w:bCs/>
          <w:sz w:val="24"/>
        </w:rPr>
        <w:t xml:space="preserve">P </w:t>
      </w:r>
      <w:r w:rsidRPr="005432A6">
        <w:rPr>
          <w:rFonts w:ascii="TimesNewRomanPSMT" w:hAnsi="TimesNewRomanPSMT" w:cs="Times New Roman"/>
          <w:sz w:val="24"/>
        </w:rPr>
        <w:t xml:space="preserve">P-value for association test in the meta-analysis </w:t>
      </w:r>
    </w:p>
    <w:p w14:paraId="3F72DBAF" w14:textId="174BFA19" w:rsidR="00D736FE" w:rsidRPr="005432A6" w:rsidRDefault="00D736FE" w:rsidP="003157FB">
      <w:pPr>
        <w:rPr>
          <w:rFonts w:ascii="Times New Roman" w:hAnsi="Times New Roman" w:cs="Times New Roman"/>
          <w:b/>
          <w:bCs/>
          <w:sz w:val="24"/>
        </w:rPr>
      </w:pPr>
      <w:r w:rsidRPr="00D736FE">
        <w:rPr>
          <w:rFonts w:ascii="TimesNewRomanPSMT" w:hAnsi="TimesNewRomanPSMT" w:cs="Times New Roman"/>
          <w:b/>
          <w:bCs/>
          <w:sz w:val="24"/>
        </w:rPr>
        <w:t xml:space="preserve">Neff </w:t>
      </w:r>
      <w:r w:rsidRPr="00D736FE">
        <w:rPr>
          <w:rFonts w:ascii="TimesNewRomanPSMT" w:hAnsi="TimesNewRomanPSMT" w:cs="Times New Roman"/>
          <w:sz w:val="24"/>
        </w:rPr>
        <w:t xml:space="preserve">Half effective </w:t>
      </w:r>
      <w:r>
        <w:rPr>
          <w:rFonts w:ascii="TimesNewRomanPSMT" w:hAnsi="TimesNewRomanPSMT" w:cs="Times New Roman"/>
          <w:sz w:val="24"/>
        </w:rPr>
        <w:t>s</w:t>
      </w:r>
      <w:r w:rsidRPr="00D736FE">
        <w:rPr>
          <w:rFonts w:ascii="TimesNewRomanPSMT" w:hAnsi="TimesNewRomanPSMT" w:cs="Times New Roman"/>
          <w:sz w:val="24"/>
        </w:rPr>
        <w:t>ample</w:t>
      </w:r>
      <w:r>
        <w:rPr>
          <w:rFonts w:ascii="TimesNewRomanPSMT" w:hAnsi="TimesNewRomanPSMT" w:cs="Times New Roman"/>
          <w:sz w:val="24"/>
        </w:rPr>
        <w:t xml:space="preserve"> size per SNP (cases and controls) </w:t>
      </w:r>
      <w:r>
        <w:rPr>
          <w:rFonts w:ascii="TimesNewRomanPSMT" w:hAnsi="TimesNewRomanPSMT" w:cs="Times New Roman"/>
          <w:b/>
          <w:bCs/>
          <w:sz w:val="24"/>
        </w:rPr>
        <w:t xml:space="preserve">  </w:t>
      </w:r>
    </w:p>
    <w:p w14:paraId="1C61580F" w14:textId="77777777" w:rsidR="003157FB" w:rsidRDefault="003157FB" w:rsidP="003157FB">
      <w:pPr>
        <w:rPr>
          <w:rFonts w:ascii="TimesNewRomanPS" w:hAnsi="TimesNewRomanPS" w:cs="Times New Roman"/>
          <w:b/>
          <w:bCs/>
          <w:sz w:val="24"/>
          <w:u w:val="single"/>
        </w:rPr>
      </w:pPr>
    </w:p>
    <w:p w14:paraId="0721FAA6" w14:textId="6FF16FF7" w:rsidR="005432A6" w:rsidRPr="005432A6" w:rsidRDefault="005432A6" w:rsidP="003157FB">
      <w:pPr>
        <w:rPr>
          <w:rFonts w:ascii="Times New Roman" w:hAnsi="Times New Roman" w:cs="Times New Roman"/>
          <w:sz w:val="24"/>
          <w:u w:val="single"/>
        </w:rPr>
      </w:pPr>
      <w:r w:rsidRPr="005432A6">
        <w:rPr>
          <w:rFonts w:ascii="TimesNewRomanPS" w:hAnsi="TimesNewRomanPS" w:cs="Times New Roman"/>
          <w:b/>
          <w:bCs/>
          <w:sz w:val="24"/>
          <w:u w:val="single"/>
        </w:rPr>
        <w:t xml:space="preserve">Additional Notes </w:t>
      </w:r>
    </w:p>
    <w:p w14:paraId="78E735A0" w14:textId="77777777" w:rsidR="003157FB" w:rsidRDefault="003157FB" w:rsidP="003157FB">
      <w:pPr>
        <w:rPr>
          <w:rFonts w:ascii="TimesNewRomanPSMT" w:hAnsi="TimesNewRomanPSMT" w:cs="Times New Roman"/>
          <w:sz w:val="24"/>
        </w:rPr>
      </w:pPr>
    </w:p>
    <w:p w14:paraId="3D996EFF" w14:textId="5D7BFEB4" w:rsidR="005432A6" w:rsidRPr="005432A6" w:rsidRDefault="005432A6" w:rsidP="003157FB">
      <w:pPr>
        <w:rPr>
          <w:rFonts w:ascii="Times New Roman" w:hAnsi="Times New Roman" w:cs="Times New Roman"/>
          <w:sz w:val="24"/>
        </w:rPr>
      </w:pPr>
      <w:r w:rsidRPr="005432A6">
        <w:rPr>
          <w:rFonts w:ascii="TimesNewRomanPSMT" w:hAnsi="TimesNewRomanPSMT" w:cs="Times New Roman"/>
          <w:sz w:val="24"/>
        </w:rPr>
        <w:t xml:space="preserve">For long insertion/deletion variants, the A1/A2 alleles </w:t>
      </w:r>
      <w:proofErr w:type="gramStart"/>
      <w:r w:rsidRPr="005432A6">
        <w:rPr>
          <w:rFonts w:ascii="TimesNewRomanPSMT" w:hAnsi="TimesNewRomanPSMT" w:cs="Times New Roman"/>
          <w:sz w:val="24"/>
        </w:rPr>
        <w:t>are truncated</w:t>
      </w:r>
      <w:proofErr w:type="gramEnd"/>
      <w:r w:rsidRPr="005432A6">
        <w:rPr>
          <w:rFonts w:ascii="TimesNewRomanPSMT" w:hAnsi="TimesNewRomanPSMT" w:cs="Times New Roman"/>
          <w:sz w:val="24"/>
        </w:rPr>
        <w:t xml:space="preserve"> to the first 13 bases with a specification of the remaining length (e.g. AACACACACACAC+16) </w:t>
      </w:r>
    </w:p>
    <w:p w14:paraId="42440B6C" w14:textId="77777777" w:rsidR="005432A6" w:rsidRPr="005432A6" w:rsidRDefault="005432A6" w:rsidP="005432A6">
      <w:pPr>
        <w:spacing w:before="100" w:beforeAutospacing="1" w:after="100" w:afterAutospacing="1"/>
        <w:rPr>
          <w:rFonts w:ascii="Times New Roman" w:hAnsi="Times New Roman" w:cs="Times New Roman"/>
          <w:sz w:val="24"/>
        </w:rPr>
      </w:pPr>
      <w:r w:rsidRPr="005432A6">
        <w:rPr>
          <w:rFonts w:ascii="TimesNewRomanPSMT" w:hAnsi="TimesNewRomanPSMT" w:cs="Times New Roman"/>
          <w:sz w:val="24"/>
        </w:rPr>
        <w:t xml:space="preserve">The reported imputation INFO score is a weighted average across the cohorts contributing to meta-analysis for that variant </w:t>
      </w:r>
    </w:p>
    <w:p w14:paraId="4776FF75" w14:textId="2A08F592" w:rsidR="005432A6" w:rsidRPr="005432A6" w:rsidRDefault="005432A6" w:rsidP="005432A6">
      <w:pPr>
        <w:spacing w:before="100" w:beforeAutospacing="1" w:after="100" w:afterAutospacing="1"/>
        <w:rPr>
          <w:rFonts w:ascii="Times New Roman" w:hAnsi="Times New Roman" w:cs="Times New Roman"/>
          <w:sz w:val="24"/>
        </w:rPr>
      </w:pPr>
      <w:r w:rsidRPr="005432A6">
        <w:rPr>
          <w:rFonts w:ascii="TimesNewRomanPSMT" w:hAnsi="TimesNewRomanPSMT" w:cs="Times New Roman"/>
          <w:sz w:val="24"/>
        </w:rPr>
        <w:t xml:space="preserve">Allele frequencies and case/control counts per variant are currently omitted from public release for data privacy. For inquiries about accessing this data, please contact </w:t>
      </w:r>
      <w:r w:rsidR="00A22F30">
        <w:rPr>
          <w:rFonts w:ascii="TimesNewRomanPSMT" w:hAnsi="TimesNewRomanPSMT" w:cs="Times New Roman"/>
          <w:sz w:val="24"/>
        </w:rPr>
        <w:t>Manuel</w:t>
      </w:r>
      <w:r w:rsidRPr="005432A6">
        <w:rPr>
          <w:rFonts w:ascii="TimesNewRomanPSMT" w:hAnsi="TimesNewRomanPSMT" w:cs="Times New Roman"/>
          <w:sz w:val="24"/>
        </w:rPr>
        <w:t xml:space="preserve"> </w:t>
      </w:r>
      <w:r w:rsidR="00A22F30">
        <w:rPr>
          <w:rFonts w:ascii="TimesNewRomanPSMT" w:hAnsi="TimesNewRomanPSMT" w:cs="Times New Roman"/>
          <w:sz w:val="24"/>
        </w:rPr>
        <w:t>Mattheisen</w:t>
      </w:r>
      <w:r w:rsidRPr="005432A6">
        <w:rPr>
          <w:rFonts w:ascii="TimesNewRomanPSMT" w:hAnsi="TimesNewRomanPSMT" w:cs="Times New Roman"/>
          <w:sz w:val="24"/>
        </w:rPr>
        <w:t xml:space="preserve"> (</w:t>
      </w:r>
      <w:hyperlink r:id="rId6" w:history="1">
        <w:r w:rsidR="00A22F30" w:rsidRPr="00713EC3">
          <w:rPr>
            <w:rStyle w:val="Hyperlink"/>
            <w:rFonts w:ascii="TimesNewRomanPSMT" w:hAnsi="TimesNewRomanPSMT" w:cs="Times New Roman"/>
            <w:sz w:val="24"/>
          </w:rPr>
          <w:t>manuel.mattheisen</w:t>
        </w:r>
        <w:r w:rsidR="00A22F30" w:rsidRPr="005432A6">
          <w:rPr>
            <w:rStyle w:val="Hyperlink"/>
            <w:rFonts w:ascii="TimesNewRomanPSMT" w:hAnsi="TimesNewRomanPSMT" w:cs="Times New Roman"/>
            <w:sz w:val="24"/>
          </w:rPr>
          <w:t>@</w:t>
        </w:r>
        <w:r w:rsidR="00A22F30" w:rsidRPr="00713EC3">
          <w:rPr>
            <w:rStyle w:val="Hyperlink"/>
            <w:rFonts w:ascii="TimesNewRomanPSMT" w:hAnsi="TimesNewRomanPSMT" w:cs="Times New Roman"/>
            <w:sz w:val="24"/>
          </w:rPr>
          <w:t>gmail.com</w:t>
        </w:r>
      </w:hyperlink>
      <w:r w:rsidRPr="005432A6">
        <w:rPr>
          <w:rFonts w:ascii="TimesNewRomanPSMT" w:hAnsi="TimesNewRomanPSMT" w:cs="Times New Roman"/>
          <w:sz w:val="24"/>
        </w:rPr>
        <w:t>)</w:t>
      </w:r>
      <w:r w:rsidR="00A22F30">
        <w:rPr>
          <w:rFonts w:ascii="TimesNewRomanPSMT" w:hAnsi="TimesNewRomanPSMT" w:cs="Times New Roman"/>
          <w:sz w:val="24"/>
        </w:rPr>
        <w:t xml:space="preserve"> or Anders Børglum (</w:t>
      </w:r>
      <w:hyperlink r:id="rId7" w:history="1">
        <w:r w:rsidR="00A22F30" w:rsidRPr="00713EC3">
          <w:rPr>
            <w:rStyle w:val="Hyperlink"/>
            <w:rFonts w:ascii="TimesNewRomanPSMT" w:hAnsi="TimesNewRomanPSMT" w:cs="Times New Roman"/>
            <w:sz w:val="24"/>
          </w:rPr>
          <w:t>anders@biomed.au.dk</w:t>
        </w:r>
      </w:hyperlink>
      <w:r w:rsidR="00A22F30">
        <w:rPr>
          <w:rFonts w:ascii="TimesNewRomanPSMT" w:hAnsi="TimesNewRomanPSMT" w:cs="Times New Roman"/>
          <w:sz w:val="24"/>
        </w:rPr>
        <w:t>)</w:t>
      </w:r>
      <w:r w:rsidRPr="005432A6">
        <w:rPr>
          <w:rFonts w:ascii="TimesNewRomanPSMT" w:hAnsi="TimesNewRomanPSMT" w:cs="Times New Roman"/>
          <w:sz w:val="24"/>
        </w:rPr>
        <w:t>.</w:t>
      </w:r>
      <w:r w:rsidR="00A22F30">
        <w:rPr>
          <w:rFonts w:ascii="TimesNewRomanPSMT" w:hAnsi="TimesNewRomanPSMT" w:cs="Times New Roman"/>
          <w:sz w:val="24"/>
        </w:rPr>
        <w:t xml:space="preserve"> </w:t>
      </w:r>
      <w:r w:rsidRPr="005432A6">
        <w:rPr>
          <w:rFonts w:ascii="TimesNewRomanPSMT" w:hAnsi="TimesNewRomanPSMT" w:cs="Times New Roman"/>
          <w:sz w:val="24"/>
        </w:rPr>
        <w:t xml:space="preserve"> </w:t>
      </w:r>
    </w:p>
    <w:p w14:paraId="0E102E4D" w14:textId="77777777" w:rsidR="00046DB6" w:rsidRPr="003157FB" w:rsidRDefault="005432A6" w:rsidP="005432A6">
      <w:pPr>
        <w:spacing w:before="100" w:beforeAutospacing="1" w:after="100" w:afterAutospacing="1"/>
        <w:rPr>
          <w:rFonts w:ascii="TimesNewRomanPS" w:hAnsi="TimesNewRomanPS" w:cs="Times New Roman"/>
          <w:b/>
          <w:bCs/>
          <w:sz w:val="24"/>
          <w:u w:val="single"/>
        </w:rPr>
      </w:pPr>
      <w:r w:rsidRPr="005432A6">
        <w:rPr>
          <w:rFonts w:ascii="TimesNewRomanPS" w:hAnsi="TimesNewRomanPS" w:cs="Times New Roman"/>
          <w:b/>
          <w:bCs/>
          <w:sz w:val="24"/>
          <w:u w:val="single"/>
        </w:rPr>
        <w:lastRenderedPageBreak/>
        <w:t xml:space="preserve">Data Use Agreement </w:t>
      </w:r>
    </w:p>
    <w:p w14:paraId="4A3034A7" w14:textId="44550E3E" w:rsidR="005432A6" w:rsidRPr="005432A6" w:rsidRDefault="005432A6" w:rsidP="005432A6">
      <w:pPr>
        <w:spacing w:before="100" w:beforeAutospacing="1" w:after="100" w:afterAutospacing="1"/>
        <w:rPr>
          <w:rFonts w:ascii="Times New Roman" w:hAnsi="Times New Roman" w:cs="Times New Roman"/>
          <w:sz w:val="24"/>
        </w:rPr>
      </w:pPr>
      <w:r w:rsidRPr="005432A6">
        <w:rPr>
          <w:rFonts w:ascii="TimesNewRomanPSMT" w:hAnsi="TimesNewRomanPSMT" w:cs="Times New Roman"/>
          <w:sz w:val="24"/>
        </w:rPr>
        <w:t xml:space="preserve">If you download these data, you and your immediate collaborators (“investigators”) acknowledge and agree to all of the following conditions: </w:t>
      </w:r>
    </w:p>
    <w:p w14:paraId="3660CBC7" w14:textId="3CBA1A3F" w:rsidR="005432A6" w:rsidRPr="005432A6" w:rsidRDefault="005432A6" w:rsidP="005432A6">
      <w:pPr>
        <w:numPr>
          <w:ilvl w:val="0"/>
          <w:numId w:val="1"/>
        </w:numPr>
        <w:shd w:val="clear" w:color="auto" w:fill="FFFFFF"/>
        <w:spacing w:before="100" w:beforeAutospacing="1" w:after="100" w:afterAutospacing="1"/>
        <w:rPr>
          <w:rFonts w:ascii="TimesNewRomanPSMT" w:hAnsi="TimesNewRomanPSMT" w:cs="Times New Roman"/>
          <w:sz w:val="24"/>
        </w:rPr>
      </w:pPr>
      <w:r w:rsidRPr="005432A6">
        <w:rPr>
          <w:rFonts w:ascii="TimesNewRomanPSMT" w:hAnsi="TimesNewRomanPSMT" w:cs="Times New Roman"/>
          <w:sz w:val="24"/>
        </w:rPr>
        <w:t xml:space="preserve">These data are provided on an "AS-IS" basis, without warranty of any type, expressed or implied, including but not limited to any warranty as to their performance, merchantability, or fitness for any particular </w:t>
      </w:r>
      <w:r w:rsidR="00046DB6" w:rsidRPr="005432A6">
        <w:rPr>
          <w:rFonts w:ascii="TimesNewRomanPSMT" w:hAnsi="TimesNewRomanPSMT" w:cs="Times New Roman"/>
          <w:sz w:val="24"/>
        </w:rPr>
        <w:t>purpose</w:t>
      </w:r>
      <w:r w:rsidR="003157FB">
        <w:rPr>
          <w:rFonts w:ascii="TimesNewRomanPSMT" w:hAnsi="TimesNewRomanPSMT" w:cs="Times New Roman"/>
          <w:sz w:val="24"/>
        </w:rPr>
        <w:t>;</w:t>
      </w:r>
      <w:r w:rsidRPr="005432A6">
        <w:rPr>
          <w:rFonts w:ascii="TimesNewRomanPSMT" w:hAnsi="TimesNewRomanPSMT" w:cs="Times New Roman"/>
          <w:sz w:val="24"/>
        </w:rPr>
        <w:t xml:space="preserve"> </w:t>
      </w:r>
    </w:p>
    <w:p w14:paraId="3A76545B" w14:textId="2A07ED38" w:rsidR="005432A6" w:rsidRPr="005432A6" w:rsidRDefault="005432A6" w:rsidP="005432A6">
      <w:pPr>
        <w:numPr>
          <w:ilvl w:val="0"/>
          <w:numId w:val="1"/>
        </w:numPr>
        <w:shd w:val="clear" w:color="auto" w:fill="FFFFFF"/>
        <w:spacing w:before="100" w:beforeAutospacing="1" w:after="100" w:afterAutospacing="1"/>
        <w:rPr>
          <w:rFonts w:ascii="TimesNewRomanPSMT" w:hAnsi="TimesNewRomanPSMT" w:cs="Times New Roman"/>
          <w:sz w:val="24"/>
        </w:rPr>
      </w:pPr>
      <w:r w:rsidRPr="005432A6">
        <w:rPr>
          <w:rFonts w:ascii="TimesNewRomanPSMT" w:hAnsi="TimesNewRomanPSMT" w:cs="Times New Roman"/>
          <w:sz w:val="24"/>
        </w:rPr>
        <w:t>Investigators will use these results for scientific research and educational use only</w:t>
      </w:r>
      <w:r w:rsidR="00046DB6">
        <w:rPr>
          <w:rFonts w:ascii="TimesNewRomanPSMT" w:hAnsi="TimesNewRomanPSMT" w:cs="Times New Roman"/>
          <w:sz w:val="24"/>
        </w:rPr>
        <w:t>.</w:t>
      </w:r>
      <w:r w:rsidRPr="005432A6">
        <w:rPr>
          <w:rFonts w:ascii="TimesNewRomanPSMT" w:hAnsi="TimesNewRomanPSMT" w:cs="Times New Roman"/>
          <w:sz w:val="24"/>
        </w:rPr>
        <w:t xml:space="preserve"> </w:t>
      </w:r>
    </w:p>
    <w:p w14:paraId="4EA705CF" w14:textId="37AB3E7B" w:rsidR="005432A6" w:rsidRPr="005432A6" w:rsidRDefault="005432A6" w:rsidP="00046DB6">
      <w:pPr>
        <w:numPr>
          <w:ilvl w:val="0"/>
          <w:numId w:val="1"/>
        </w:numPr>
        <w:shd w:val="clear" w:color="auto" w:fill="FFFFFF"/>
        <w:spacing w:before="100" w:beforeAutospacing="1" w:after="100" w:afterAutospacing="1"/>
        <w:rPr>
          <w:rFonts w:ascii="TimesNewRomanPSMT" w:hAnsi="TimesNewRomanPSMT" w:cs="Times New Roman"/>
          <w:sz w:val="24"/>
        </w:rPr>
      </w:pPr>
      <w:r w:rsidRPr="005432A6">
        <w:rPr>
          <w:rFonts w:ascii="TimesNewRomanPSMT" w:hAnsi="TimesNewRomanPSMT" w:cs="Times New Roman"/>
          <w:sz w:val="24"/>
        </w:rPr>
        <w:t>The downloaded results can be shared among collaborators but the reposting or public distribution of the result file is prohibited</w:t>
      </w:r>
      <w:r w:rsidR="003157FB">
        <w:rPr>
          <w:rFonts w:ascii="TimesNewRomanPSMT" w:hAnsi="TimesNewRomanPSMT" w:cs="Times New Roman"/>
          <w:sz w:val="24"/>
        </w:rPr>
        <w:t>;</w:t>
      </w:r>
    </w:p>
    <w:p w14:paraId="6D56A7FF" w14:textId="41C202B8" w:rsidR="005432A6" w:rsidRPr="005432A6" w:rsidRDefault="005432A6" w:rsidP="00046DB6">
      <w:pPr>
        <w:numPr>
          <w:ilvl w:val="0"/>
          <w:numId w:val="1"/>
        </w:numPr>
        <w:shd w:val="clear" w:color="auto" w:fill="FFFFFF"/>
        <w:spacing w:before="100" w:beforeAutospacing="1" w:after="100" w:afterAutospacing="1"/>
        <w:rPr>
          <w:rFonts w:ascii="TimesNewRomanPSMT" w:hAnsi="TimesNewRomanPSMT" w:cs="Times New Roman"/>
          <w:sz w:val="24"/>
        </w:rPr>
      </w:pPr>
      <w:r w:rsidRPr="005432A6">
        <w:rPr>
          <w:rFonts w:ascii="TimesNewRomanPSMT" w:hAnsi="TimesNewRomanPSMT" w:cs="Times New Roman"/>
          <w:sz w:val="24"/>
        </w:rPr>
        <w:t>Investigators certify that they are in compliance with all applicable local, state, and federal laws or regulations and institutional policies regarding human subjects and genetics research</w:t>
      </w:r>
      <w:r w:rsidR="003157FB">
        <w:rPr>
          <w:rFonts w:ascii="TimesNewRomanPSMT" w:hAnsi="TimesNewRomanPSMT" w:cs="Times New Roman"/>
          <w:sz w:val="24"/>
        </w:rPr>
        <w:t>;</w:t>
      </w:r>
    </w:p>
    <w:p w14:paraId="7F5F869C" w14:textId="76183BA3" w:rsidR="005432A6" w:rsidRPr="005432A6" w:rsidRDefault="005432A6" w:rsidP="00046DB6">
      <w:pPr>
        <w:numPr>
          <w:ilvl w:val="0"/>
          <w:numId w:val="1"/>
        </w:numPr>
        <w:shd w:val="clear" w:color="auto" w:fill="FFFFFF"/>
        <w:spacing w:before="100" w:beforeAutospacing="1" w:after="100" w:afterAutospacing="1"/>
        <w:rPr>
          <w:rFonts w:ascii="TimesNewRomanPSMT" w:hAnsi="TimesNewRomanPSMT" w:cs="Times New Roman"/>
          <w:sz w:val="24"/>
        </w:rPr>
      </w:pPr>
      <w:r w:rsidRPr="005432A6">
        <w:rPr>
          <w:rFonts w:ascii="TimesNewRomanPSMT" w:hAnsi="TimesNewRomanPSMT" w:cs="Times New Roman"/>
          <w:sz w:val="24"/>
        </w:rPr>
        <w:t xml:space="preserve">Investigators will cite the appropriate publication in any communications or publications arising directly or indirectly from these data; and </w:t>
      </w:r>
    </w:p>
    <w:p w14:paraId="0EBC0237" w14:textId="77777777" w:rsidR="005432A6" w:rsidRPr="005432A6" w:rsidRDefault="005432A6" w:rsidP="005432A6">
      <w:pPr>
        <w:numPr>
          <w:ilvl w:val="0"/>
          <w:numId w:val="1"/>
        </w:numPr>
        <w:shd w:val="clear" w:color="auto" w:fill="FFFFFF"/>
        <w:spacing w:before="100" w:beforeAutospacing="1" w:after="100" w:afterAutospacing="1"/>
        <w:rPr>
          <w:rFonts w:ascii="TimesNewRomanPSMT" w:hAnsi="TimesNewRomanPSMT" w:cs="Times New Roman"/>
          <w:sz w:val="24"/>
        </w:rPr>
      </w:pPr>
      <w:r w:rsidRPr="005432A6">
        <w:rPr>
          <w:rFonts w:ascii="TimesNewRomanPSMT" w:hAnsi="TimesNewRomanPSMT" w:cs="Times New Roman"/>
          <w:sz w:val="24"/>
        </w:rPr>
        <w:t xml:space="preserve">Investigators will never attempt to identify any participant. </w:t>
      </w:r>
    </w:p>
    <w:p w14:paraId="4C0EB0FC" w14:textId="2A76D817" w:rsidR="002F5C35" w:rsidRPr="005432A6" w:rsidRDefault="005432A6" w:rsidP="005432A6">
      <w:pPr>
        <w:shd w:val="clear" w:color="auto" w:fill="FFFFFF"/>
        <w:spacing w:before="100" w:beforeAutospacing="1" w:after="100" w:afterAutospacing="1"/>
        <w:rPr>
          <w:rFonts w:ascii="Times New Roman" w:hAnsi="Times New Roman" w:cs="Times New Roman"/>
          <w:sz w:val="24"/>
        </w:rPr>
      </w:pPr>
      <w:r w:rsidRPr="005432A6">
        <w:rPr>
          <w:rFonts w:ascii="TimesNewRomanPSMT" w:hAnsi="TimesNewRomanPSMT" w:cs="Times New Roman"/>
          <w:sz w:val="24"/>
        </w:rPr>
        <w:t xml:space="preserve">Experience has taught us that the appropriate use of these data requires considerable attention to detail, prior experience, and technical skill. Errors are easy to make. If investigators use these data, </w:t>
      </w:r>
      <w:proofErr w:type="gramStart"/>
      <w:r w:rsidRPr="005432A6">
        <w:rPr>
          <w:rFonts w:ascii="TimesNewRomanPSMT" w:hAnsi="TimesNewRomanPSMT" w:cs="Times New Roman"/>
          <w:sz w:val="24"/>
        </w:rPr>
        <w:t>any and all</w:t>
      </w:r>
      <w:proofErr w:type="gramEnd"/>
      <w:r w:rsidRPr="005432A6">
        <w:rPr>
          <w:rFonts w:ascii="TimesNewRomanPSMT" w:hAnsi="TimesNewRomanPSMT" w:cs="Times New Roman"/>
          <w:sz w:val="24"/>
        </w:rPr>
        <w:t xml:space="preserve"> consequences are entirely their responsibility. </w:t>
      </w:r>
    </w:p>
    <w:sectPr w:rsidR="002F5C35" w:rsidRPr="005432A6" w:rsidSect="00F91647">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B375F"/>
    <w:multiLevelType w:val="multilevel"/>
    <w:tmpl w:val="FA180B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A6"/>
    <w:rsid w:val="00001D59"/>
    <w:rsid w:val="00002B37"/>
    <w:rsid w:val="00015D82"/>
    <w:rsid w:val="00017C27"/>
    <w:rsid w:val="00022698"/>
    <w:rsid w:val="00027D8B"/>
    <w:rsid w:val="00031FEB"/>
    <w:rsid w:val="0003382C"/>
    <w:rsid w:val="00033D4A"/>
    <w:rsid w:val="0003524A"/>
    <w:rsid w:val="00035DEB"/>
    <w:rsid w:val="00046DB6"/>
    <w:rsid w:val="00056F04"/>
    <w:rsid w:val="00061F1A"/>
    <w:rsid w:val="00080F04"/>
    <w:rsid w:val="000828F3"/>
    <w:rsid w:val="00095FF5"/>
    <w:rsid w:val="000B19EA"/>
    <w:rsid w:val="000B7AAD"/>
    <w:rsid w:val="000C3908"/>
    <w:rsid w:val="000C5A6F"/>
    <w:rsid w:val="000E31C8"/>
    <w:rsid w:val="000F5A66"/>
    <w:rsid w:val="0010152F"/>
    <w:rsid w:val="00107CFE"/>
    <w:rsid w:val="00117715"/>
    <w:rsid w:val="00127B40"/>
    <w:rsid w:val="001334B6"/>
    <w:rsid w:val="00142B01"/>
    <w:rsid w:val="00156202"/>
    <w:rsid w:val="001627FF"/>
    <w:rsid w:val="001669A6"/>
    <w:rsid w:val="001673CC"/>
    <w:rsid w:val="00184B94"/>
    <w:rsid w:val="00185354"/>
    <w:rsid w:val="00192CD6"/>
    <w:rsid w:val="001C6DC6"/>
    <w:rsid w:val="001E5C9B"/>
    <w:rsid w:val="001E77BA"/>
    <w:rsid w:val="001F4BFA"/>
    <w:rsid w:val="0020534B"/>
    <w:rsid w:val="002111CF"/>
    <w:rsid w:val="002121DB"/>
    <w:rsid w:val="002227DE"/>
    <w:rsid w:val="00222888"/>
    <w:rsid w:val="00222B1F"/>
    <w:rsid w:val="002349C8"/>
    <w:rsid w:val="00234E26"/>
    <w:rsid w:val="002372B7"/>
    <w:rsid w:val="00242C16"/>
    <w:rsid w:val="00246003"/>
    <w:rsid w:val="00256350"/>
    <w:rsid w:val="00262A8A"/>
    <w:rsid w:val="00265470"/>
    <w:rsid w:val="002843E0"/>
    <w:rsid w:val="002A1DD6"/>
    <w:rsid w:val="002A1E2B"/>
    <w:rsid w:val="002B7130"/>
    <w:rsid w:val="002C6F8D"/>
    <w:rsid w:val="002C7BAE"/>
    <w:rsid w:val="002E243B"/>
    <w:rsid w:val="002E4628"/>
    <w:rsid w:val="002F5C35"/>
    <w:rsid w:val="002F7BD1"/>
    <w:rsid w:val="0031079E"/>
    <w:rsid w:val="00311C69"/>
    <w:rsid w:val="00313E61"/>
    <w:rsid w:val="003157FB"/>
    <w:rsid w:val="00320AA6"/>
    <w:rsid w:val="003349D4"/>
    <w:rsid w:val="0035075F"/>
    <w:rsid w:val="003637B9"/>
    <w:rsid w:val="003645ED"/>
    <w:rsid w:val="00382A06"/>
    <w:rsid w:val="00390019"/>
    <w:rsid w:val="003A3CA2"/>
    <w:rsid w:val="003A5AB1"/>
    <w:rsid w:val="003D647F"/>
    <w:rsid w:val="003E0457"/>
    <w:rsid w:val="003E5D0C"/>
    <w:rsid w:val="003E5D6D"/>
    <w:rsid w:val="003F4773"/>
    <w:rsid w:val="00412346"/>
    <w:rsid w:val="00421BD9"/>
    <w:rsid w:val="00426C90"/>
    <w:rsid w:val="00427A2C"/>
    <w:rsid w:val="004465FF"/>
    <w:rsid w:val="004467AE"/>
    <w:rsid w:val="00447556"/>
    <w:rsid w:val="0047155B"/>
    <w:rsid w:val="0047462A"/>
    <w:rsid w:val="00477645"/>
    <w:rsid w:val="004823CD"/>
    <w:rsid w:val="00492975"/>
    <w:rsid w:val="00495053"/>
    <w:rsid w:val="004A0C9F"/>
    <w:rsid w:val="004A5558"/>
    <w:rsid w:val="004B1BC5"/>
    <w:rsid w:val="004B4762"/>
    <w:rsid w:val="004C2A2E"/>
    <w:rsid w:val="004D1FF9"/>
    <w:rsid w:val="004E30D0"/>
    <w:rsid w:val="004E752E"/>
    <w:rsid w:val="00501C3E"/>
    <w:rsid w:val="005028ED"/>
    <w:rsid w:val="00505B2E"/>
    <w:rsid w:val="005076D0"/>
    <w:rsid w:val="00514D5C"/>
    <w:rsid w:val="00521F06"/>
    <w:rsid w:val="00531355"/>
    <w:rsid w:val="00536B6C"/>
    <w:rsid w:val="0054156D"/>
    <w:rsid w:val="005432A6"/>
    <w:rsid w:val="00550618"/>
    <w:rsid w:val="00552693"/>
    <w:rsid w:val="00560D79"/>
    <w:rsid w:val="00565647"/>
    <w:rsid w:val="00573BA1"/>
    <w:rsid w:val="0058282A"/>
    <w:rsid w:val="005967ED"/>
    <w:rsid w:val="005A71B9"/>
    <w:rsid w:val="005B07D8"/>
    <w:rsid w:val="005D4FA4"/>
    <w:rsid w:val="005E1102"/>
    <w:rsid w:val="005E46ED"/>
    <w:rsid w:val="005E4F7E"/>
    <w:rsid w:val="005E7FAD"/>
    <w:rsid w:val="005F0EF1"/>
    <w:rsid w:val="006035E6"/>
    <w:rsid w:val="00613C7B"/>
    <w:rsid w:val="006163F8"/>
    <w:rsid w:val="00616C5F"/>
    <w:rsid w:val="00621065"/>
    <w:rsid w:val="00622938"/>
    <w:rsid w:val="00623580"/>
    <w:rsid w:val="006260F8"/>
    <w:rsid w:val="0063204C"/>
    <w:rsid w:val="006342AB"/>
    <w:rsid w:val="00634532"/>
    <w:rsid w:val="00685E9E"/>
    <w:rsid w:val="00690F34"/>
    <w:rsid w:val="006921AC"/>
    <w:rsid w:val="006B167C"/>
    <w:rsid w:val="006B6391"/>
    <w:rsid w:val="006D1DB5"/>
    <w:rsid w:val="006D2D2D"/>
    <w:rsid w:val="006E6947"/>
    <w:rsid w:val="006F13BC"/>
    <w:rsid w:val="0070631F"/>
    <w:rsid w:val="00710463"/>
    <w:rsid w:val="00713CC6"/>
    <w:rsid w:val="00720EB7"/>
    <w:rsid w:val="00720F4F"/>
    <w:rsid w:val="00736F06"/>
    <w:rsid w:val="00741F9F"/>
    <w:rsid w:val="00746FA0"/>
    <w:rsid w:val="00765CDF"/>
    <w:rsid w:val="00796295"/>
    <w:rsid w:val="007B292F"/>
    <w:rsid w:val="007C0BBD"/>
    <w:rsid w:val="007C1548"/>
    <w:rsid w:val="007C29EE"/>
    <w:rsid w:val="007D282A"/>
    <w:rsid w:val="007D511D"/>
    <w:rsid w:val="007E28EA"/>
    <w:rsid w:val="007F0829"/>
    <w:rsid w:val="007F108E"/>
    <w:rsid w:val="007F70DA"/>
    <w:rsid w:val="008055D5"/>
    <w:rsid w:val="00807A35"/>
    <w:rsid w:val="00820F3C"/>
    <w:rsid w:val="008303EF"/>
    <w:rsid w:val="0083044A"/>
    <w:rsid w:val="008355A6"/>
    <w:rsid w:val="008457B5"/>
    <w:rsid w:val="0084702C"/>
    <w:rsid w:val="0084766D"/>
    <w:rsid w:val="008509B1"/>
    <w:rsid w:val="00855B83"/>
    <w:rsid w:val="008643F0"/>
    <w:rsid w:val="008735CC"/>
    <w:rsid w:val="00880BE7"/>
    <w:rsid w:val="00890962"/>
    <w:rsid w:val="00891D60"/>
    <w:rsid w:val="008A4869"/>
    <w:rsid w:val="008B2D5B"/>
    <w:rsid w:val="008C7C1C"/>
    <w:rsid w:val="008E67E0"/>
    <w:rsid w:val="008F73FD"/>
    <w:rsid w:val="00901776"/>
    <w:rsid w:val="00904169"/>
    <w:rsid w:val="00916EE9"/>
    <w:rsid w:val="00922F28"/>
    <w:rsid w:val="00931B13"/>
    <w:rsid w:val="0093502E"/>
    <w:rsid w:val="009430F3"/>
    <w:rsid w:val="00952506"/>
    <w:rsid w:val="00960C86"/>
    <w:rsid w:val="009630F5"/>
    <w:rsid w:val="00975712"/>
    <w:rsid w:val="0097670C"/>
    <w:rsid w:val="009866AD"/>
    <w:rsid w:val="00987878"/>
    <w:rsid w:val="00994529"/>
    <w:rsid w:val="00997555"/>
    <w:rsid w:val="009B0BE8"/>
    <w:rsid w:val="009B2EC3"/>
    <w:rsid w:val="009B417A"/>
    <w:rsid w:val="009D792B"/>
    <w:rsid w:val="009D7BF0"/>
    <w:rsid w:val="009E7219"/>
    <w:rsid w:val="009E79A0"/>
    <w:rsid w:val="009E7DCF"/>
    <w:rsid w:val="009F5C5F"/>
    <w:rsid w:val="00A00D4E"/>
    <w:rsid w:val="00A012C4"/>
    <w:rsid w:val="00A138E1"/>
    <w:rsid w:val="00A213D1"/>
    <w:rsid w:val="00A22F30"/>
    <w:rsid w:val="00A24882"/>
    <w:rsid w:val="00A35003"/>
    <w:rsid w:val="00A42EB3"/>
    <w:rsid w:val="00A7497B"/>
    <w:rsid w:val="00A817C8"/>
    <w:rsid w:val="00A87973"/>
    <w:rsid w:val="00A92FE6"/>
    <w:rsid w:val="00A94CA8"/>
    <w:rsid w:val="00AA45FB"/>
    <w:rsid w:val="00AB2F9E"/>
    <w:rsid w:val="00AC691A"/>
    <w:rsid w:val="00AD33A1"/>
    <w:rsid w:val="00AD6530"/>
    <w:rsid w:val="00AD72FE"/>
    <w:rsid w:val="00AE1725"/>
    <w:rsid w:val="00AE44B5"/>
    <w:rsid w:val="00AE528E"/>
    <w:rsid w:val="00AF1898"/>
    <w:rsid w:val="00AF5C22"/>
    <w:rsid w:val="00B157CE"/>
    <w:rsid w:val="00B20927"/>
    <w:rsid w:val="00B424BE"/>
    <w:rsid w:val="00B507B3"/>
    <w:rsid w:val="00B82073"/>
    <w:rsid w:val="00BA29F8"/>
    <w:rsid w:val="00BA403A"/>
    <w:rsid w:val="00BA5B96"/>
    <w:rsid w:val="00BB7180"/>
    <w:rsid w:val="00BB766F"/>
    <w:rsid w:val="00BB7ABE"/>
    <w:rsid w:val="00BB7F4C"/>
    <w:rsid w:val="00BC0BED"/>
    <w:rsid w:val="00BD6171"/>
    <w:rsid w:val="00BE369A"/>
    <w:rsid w:val="00BE4F59"/>
    <w:rsid w:val="00BE5DD4"/>
    <w:rsid w:val="00BF4B95"/>
    <w:rsid w:val="00C01DE8"/>
    <w:rsid w:val="00C04048"/>
    <w:rsid w:val="00C379FC"/>
    <w:rsid w:val="00C51ECF"/>
    <w:rsid w:val="00C5409B"/>
    <w:rsid w:val="00C63D28"/>
    <w:rsid w:val="00C677F3"/>
    <w:rsid w:val="00C715D6"/>
    <w:rsid w:val="00C7307E"/>
    <w:rsid w:val="00C76FE9"/>
    <w:rsid w:val="00C82864"/>
    <w:rsid w:val="00C84CBF"/>
    <w:rsid w:val="00C8511E"/>
    <w:rsid w:val="00C91261"/>
    <w:rsid w:val="00C932B1"/>
    <w:rsid w:val="00CA1D36"/>
    <w:rsid w:val="00CA3E8B"/>
    <w:rsid w:val="00CB2F98"/>
    <w:rsid w:val="00CC3DED"/>
    <w:rsid w:val="00CE1300"/>
    <w:rsid w:val="00CE38B4"/>
    <w:rsid w:val="00CE40A4"/>
    <w:rsid w:val="00CF2114"/>
    <w:rsid w:val="00CF5CFE"/>
    <w:rsid w:val="00CF7023"/>
    <w:rsid w:val="00CF7586"/>
    <w:rsid w:val="00D05274"/>
    <w:rsid w:val="00D07531"/>
    <w:rsid w:val="00D201C6"/>
    <w:rsid w:val="00D35246"/>
    <w:rsid w:val="00D45B6F"/>
    <w:rsid w:val="00D53740"/>
    <w:rsid w:val="00D5568C"/>
    <w:rsid w:val="00D72D44"/>
    <w:rsid w:val="00D736FE"/>
    <w:rsid w:val="00D8002C"/>
    <w:rsid w:val="00D87A75"/>
    <w:rsid w:val="00D95199"/>
    <w:rsid w:val="00DB2CFD"/>
    <w:rsid w:val="00DD44AC"/>
    <w:rsid w:val="00DF0425"/>
    <w:rsid w:val="00DF5595"/>
    <w:rsid w:val="00E05A81"/>
    <w:rsid w:val="00E06F3A"/>
    <w:rsid w:val="00E1163D"/>
    <w:rsid w:val="00E22C9C"/>
    <w:rsid w:val="00E32433"/>
    <w:rsid w:val="00E6235B"/>
    <w:rsid w:val="00E661E2"/>
    <w:rsid w:val="00E70526"/>
    <w:rsid w:val="00E75F65"/>
    <w:rsid w:val="00EB0238"/>
    <w:rsid w:val="00EB48BC"/>
    <w:rsid w:val="00EB688A"/>
    <w:rsid w:val="00EC76E4"/>
    <w:rsid w:val="00ED1BBF"/>
    <w:rsid w:val="00ED20AD"/>
    <w:rsid w:val="00EF4CD8"/>
    <w:rsid w:val="00F0100E"/>
    <w:rsid w:val="00F03120"/>
    <w:rsid w:val="00F03213"/>
    <w:rsid w:val="00F160DE"/>
    <w:rsid w:val="00F33C2E"/>
    <w:rsid w:val="00F33D5E"/>
    <w:rsid w:val="00F506DD"/>
    <w:rsid w:val="00F507B0"/>
    <w:rsid w:val="00F55673"/>
    <w:rsid w:val="00F70CFA"/>
    <w:rsid w:val="00F71DE6"/>
    <w:rsid w:val="00F75FBD"/>
    <w:rsid w:val="00F91647"/>
    <w:rsid w:val="00FA208A"/>
    <w:rsid w:val="00FA67DD"/>
    <w:rsid w:val="00FA75FF"/>
    <w:rsid w:val="00FB0A2B"/>
    <w:rsid w:val="00FB23B9"/>
    <w:rsid w:val="00FB4453"/>
    <w:rsid w:val="00FB4CE9"/>
    <w:rsid w:val="00FB5801"/>
    <w:rsid w:val="00FB5A5A"/>
    <w:rsid w:val="00FB6489"/>
    <w:rsid w:val="00FC092E"/>
    <w:rsid w:val="00FC2E40"/>
    <w:rsid w:val="00FE1962"/>
    <w:rsid w:val="00FE4DB7"/>
    <w:rsid w:val="00FE628F"/>
    <w:rsid w:val="00FF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878C"/>
  <w14:defaultImageDpi w14:val="32767"/>
  <w15:chartTrackingRefBased/>
  <w15:docId w15:val="{7FC985E1-F703-6A42-A113-BC7C1E85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32A6"/>
    <w:pPr>
      <w:spacing w:before="100" w:beforeAutospacing="1" w:after="100" w:afterAutospacing="1"/>
    </w:pPr>
    <w:rPr>
      <w:rFonts w:ascii="Times New Roman" w:hAnsi="Times New Roman" w:cs="Times New Roman"/>
      <w:sz w:val="24"/>
    </w:rPr>
  </w:style>
  <w:style w:type="character" w:styleId="Hyperlink">
    <w:name w:val="Hyperlink"/>
    <w:basedOn w:val="DefaultParagraphFont"/>
    <w:uiPriority w:val="99"/>
    <w:unhideWhenUsed/>
    <w:rsid w:val="00A22F30"/>
    <w:rPr>
      <w:color w:val="0563C1" w:themeColor="hyperlink"/>
      <w:u w:val="single"/>
    </w:rPr>
  </w:style>
  <w:style w:type="character" w:customStyle="1" w:styleId="UnresolvedMention">
    <w:name w:val="Unresolved Mention"/>
    <w:basedOn w:val="DefaultParagraphFont"/>
    <w:uiPriority w:val="99"/>
    <w:rsid w:val="00A22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336581">
      <w:bodyDiv w:val="1"/>
      <w:marLeft w:val="0"/>
      <w:marRight w:val="0"/>
      <w:marTop w:val="0"/>
      <w:marBottom w:val="0"/>
      <w:divBdr>
        <w:top w:val="none" w:sz="0" w:space="0" w:color="auto"/>
        <w:left w:val="none" w:sz="0" w:space="0" w:color="auto"/>
        <w:bottom w:val="none" w:sz="0" w:space="0" w:color="auto"/>
        <w:right w:val="none" w:sz="0" w:space="0" w:color="auto"/>
      </w:divBdr>
    </w:div>
    <w:div w:id="1871795348">
      <w:bodyDiv w:val="1"/>
      <w:marLeft w:val="0"/>
      <w:marRight w:val="0"/>
      <w:marTop w:val="0"/>
      <w:marBottom w:val="0"/>
      <w:divBdr>
        <w:top w:val="none" w:sz="0" w:space="0" w:color="auto"/>
        <w:left w:val="none" w:sz="0" w:space="0" w:color="auto"/>
        <w:bottom w:val="none" w:sz="0" w:space="0" w:color="auto"/>
        <w:right w:val="none" w:sz="0" w:space="0" w:color="auto"/>
      </w:divBdr>
      <w:divsChild>
        <w:div w:id="1219590879">
          <w:marLeft w:val="0"/>
          <w:marRight w:val="0"/>
          <w:marTop w:val="0"/>
          <w:marBottom w:val="0"/>
          <w:divBdr>
            <w:top w:val="none" w:sz="0" w:space="0" w:color="auto"/>
            <w:left w:val="none" w:sz="0" w:space="0" w:color="auto"/>
            <w:bottom w:val="none" w:sz="0" w:space="0" w:color="auto"/>
            <w:right w:val="none" w:sz="0" w:space="0" w:color="auto"/>
          </w:divBdr>
          <w:divsChild>
            <w:div w:id="717507127">
              <w:marLeft w:val="0"/>
              <w:marRight w:val="0"/>
              <w:marTop w:val="0"/>
              <w:marBottom w:val="0"/>
              <w:divBdr>
                <w:top w:val="none" w:sz="0" w:space="0" w:color="auto"/>
                <w:left w:val="none" w:sz="0" w:space="0" w:color="auto"/>
                <w:bottom w:val="none" w:sz="0" w:space="0" w:color="auto"/>
                <w:right w:val="none" w:sz="0" w:space="0" w:color="auto"/>
              </w:divBdr>
              <w:divsChild>
                <w:div w:id="8151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8567">
          <w:marLeft w:val="0"/>
          <w:marRight w:val="0"/>
          <w:marTop w:val="0"/>
          <w:marBottom w:val="0"/>
          <w:divBdr>
            <w:top w:val="none" w:sz="0" w:space="0" w:color="auto"/>
            <w:left w:val="none" w:sz="0" w:space="0" w:color="auto"/>
            <w:bottom w:val="none" w:sz="0" w:space="0" w:color="auto"/>
            <w:right w:val="none" w:sz="0" w:space="0" w:color="auto"/>
          </w:divBdr>
          <w:divsChild>
            <w:div w:id="1554657703">
              <w:marLeft w:val="0"/>
              <w:marRight w:val="0"/>
              <w:marTop w:val="0"/>
              <w:marBottom w:val="0"/>
              <w:divBdr>
                <w:top w:val="none" w:sz="0" w:space="0" w:color="auto"/>
                <w:left w:val="none" w:sz="0" w:space="0" w:color="auto"/>
                <w:bottom w:val="none" w:sz="0" w:space="0" w:color="auto"/>
                <w:right w:val="none" w:sz="0" w:space="0" w:color="auto"/>
              </w:divBdr>
              <w:divsChild>
                <w:div w:id="16088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48390">
          <w:marLeft w:val="0"/>
          <w:marRight w:val="0"/>
          <w:marTop w:val="0"/>
          <w:marBottom w:val="0"/>
          <w:divBdr>
            <w:top w:val="none" w:sz="0" w:space="0" w:color="auto"/>
            <w:left w:val="none" w:sz="0" w:space="0" w:color="auto"/>
            <w:bottom w:val="none" w:sz="0" w:space="0" w:color="auto"/>
            <w:right w:val="none" w:sz="0" w:space="0" w:color="auto"/>
          </w:divBdr>
          <w:divsChild>
            <w:div w:id="230778729">
              <w:marLeft w:val="0"/>
              <w:marRight w:val="0"/>
              <w:marTop w:val="0"/>
              <w:marBottom w:val="0"/>
              <w:divBdr>
                <w:top w:val="none" w:sz="0" w:space="0" w:color="auto"/>
                <w:left w:val="none" w:sz="0" w:space="0" w:color="auto"/>
                <w:bottom w:val="none" w:sz="0" w:space="0" w:color="auto"/>
                <w:right w:val="none" w:sz="0" w:space="0" w:color="auto"/>
              </w:divBdr>
              <w:divsChild>
                <w:div w:id="1497113359">
                  <w:marLeft w:val="0"/>
                  <w:marRight w:val="0"/>
                  <w:marTop w:val="0"/>
                  <w:marBottom w:val="0"/>
                  <w:divBdr>
                    <w:top w:val="none" w:sz="0" w:space="0" w:color="auto"/>
                    <w:left w:val="none" w:sz="0" w:space="0" w:color="auto"/>
                    <w:bottom w:val="none" w:sz="0" w:space="0" w:color="auto"/>
                    <w:right w:val="none" w:sz="0" w:space="0" w:color="auto"/>
                  </w:divBdr>
                </w:div>
              </w:divsChild>
            </w:div>
            <w:div w:id="175923760">
              <w:marLeft w:val="0"/>
              <w:marRight w:val="0"/>
              <w:marTop w:val="0"/>
              <w:marBottom w:val="0"/>
              <w:divBdr>
                <w:top w:val="none" w:sz="0" w:space="0" w:color="auto"/>
                <w:left w:val="none" w:sz="0" w:space="0" w:color="auto"/>
                <w:bottom w:val="none" w:sz="0" w:space="0" w:color="auto"/>
                <w:right w:val="none" w:sz="0" w:space="0" w:color="auto"/>
              </w:divBdr>
              <w:divsChild>
                <w:div w:id="1401174601">
                  <w:marLeft w:val="0"/>
                  <w:marRight w:val="0"/>
                  <w:marTop w:val="0"/>
                  <w:marBottom w:val="0"/>
                  <w:divBdr>
                    <w:top w:val="none" w:sz="0" w:space="0" w:color="auto"/>
                    <w:left w:val="none" w:sz="0" w:space="0" w:color="auto"/>
                    <w:bottom w:val="none" w:sz="0" w:space="0" w:color="auto"/>
                    <w:right w:val="none" w:sz="0" w:space="0" w:color="auto"/>
                  </w:divBdr>
                </w:div>
              </w:divsChild>
            </w:div>
            <w:div w:id="1733846969">
              <w:marLeft w:val="0"/>
              <w:marRight w:val="0"/>
              <w:marTop w:val="0"/>
              <w:marBottom w:val="0"/>
              <w:divBdr>
                <w:top w:val="none" w:sz="0" w:space="0" w:color="auto"/>
                <w:left w:val="none" w:sz="0" w:space="0" w:color="auto"/>
                <w:bottom w:val="none" w:sz="0" w:space="0" w:color="auto"/>
                <w:right w:val="none" w:sz="0" w:space="0" w:color="auto"/>
              </w:divBdr>
              <w:divsChild>
                <w:div w:id="791167200">
                  <w:marLeft w:val="0"/>
                  <w:marRight w:val="0"/>
                  <w:marTop w:val="0"/>
                  <w:marBottom w:val="0"/>
                  <w:divBdr>
                    <w:top w:val="none" w:sz="0" w:space="0" w:color="auto"/>
                    <w:left w:val="none" w:sz="0" w:space="0" w:color="auto"/>
                    <w:bottom w:val="none" w:sz="0" w:space="0" w:color="auto"/>
                    <w:right w:val="none" w:sz="0" w:space="0" w:color="auto"/>
                  </w:divBdr>
                  <w:divsChild>
                    <w:div w:id="21101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1033">
              <w:marLeft w:val="0"/>
              <w:marRight w:val="0"/>
              <w:marTop w:val="0"/>
              <w:marBottom w:val="0"/>
              <w:divBdr>
                <w:top w:val="none" w:sz="0" w:space="0" w:color="auto"/>
                <w:left w:val="none" w:sz="0" w:space="0" w:color="auto"/>
                <w:bottom w:val="none" w:sz="0" w:space="0" w:color="auto"/>
                <w:right w:val="none" w:sz="0" w:space="0" w:color="auto"/>
              </w:divBdr>
              <w:divsChild>
                <w:div w:id="1406761351">
                  <w:marLeft w:val="0"/>
                  <w:marRight w:val="0"/>
                  <w:marTop w:val="0"/>
                  <w:marBottom w:val="0"/>
                  <w:divBdr>
                    <w:top w:val="none" w:sz="0" w:space="0" w:color="auto"/>
                    <w:left w:val="none" w:sz="0" w:space="0" w:color="auto"/>
                    <w:bottom w:val="none" w:sz="0" w:space="0" w:color="auto"/>
                    <w:right w:val="none" w:sz="0" w:space="0" w:color="auto"/>
                  </w:divBdr>
                  <w:divsChild>
                    <w:div w:id="13969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ers@biomed.a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uel.mattheisen@gmail.com" TargetMode="External"/><Relationship Id="rId5" Type="http://schemas.openxmlformats.org/officeDocument/2006/relationships/hyperlink" Target="https://doi.org/10.1101/2021.05.20.2125748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Mattheisen</dc:creator>
  <cp:keywords/>
  <dc:description/>
  <cp:lastModifiedBy>Jakob Grove</cp:lastModifiedBy>
  <cp:revision>5</cp:revision>
  <dcterms:created xsi:type="dcterms:W3CDTF">2022-04-25T14:17:00Z</dcterms:created>
  <dcterms:modified xsi:type="dcterms:W3CDTF">2022-04-29T11:43:00Z</dcterms:modified>
</cp:coreProperties>
</file>